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DE" w:rsidRDefault="00C344CC" w:rsidP="007160DE">
      <w:pPr>
        <w:rPr>
          <w:b/>
        </w:rPr>
      </w:pPr>
      <w:bookmarkStart w:id="0" w:name="_GoBack"/>
      <w:bookmarkEnd w:id="0"/>
      <w:r w:rsidRPr="001C2DF8">
        <w:rPr>
          <w:b/>
        </w:rPr>
        <w:t xml:space="preserve">Az állam </w:t>
      </w:r>
      <w:r w:rsidR="00020BB9">
        <w:rPr>
          <w:b/>
        </w:rPr>
        <w:t>visszatér</w:t>
      </w:r>
    </w:p>
    <w:p w:rsidR="00E25DE9" w:rsidRPr="007160DE" w:rsidRDefault="00066AAC" w:rsidP="007160DE">
      <w:r w:rsidRPr="007160DE">
        <w:t>leckék a kelet-á</w:t>
      </w:r>
      <w:r w:rsidR="00E25DE9" w:rsidRPr="007160DE">
        <w:t>zsia</w:t>
      </w:r>
      <w:r w:rsidRPr="007160DE">
        <w:t>i</w:t>
      </w:r>
      <w:r w:rsidR="00E25DE9" w:rsidRPr="007160DE">
        <w:t xml:space="preserve"> fejlődés </w:t>
      </w:r>
      <w:r w:rsidRPr="007160DE">
        <w:t>fejezeteiből</w:t>
      </w:r>
    </w:p>
    <w:p w:rsidR="007160DE" w:rsidRDefault="007160DE" w:rsidP="007160DE"/>
    <w:p w:rsidR="007160DE" w:rsidRPr="007160DE" w:rsidRDefault="007160DE" w:rsidP="007160DE">
      <w:r w:rsidRPr="007160DE">
        <w:t>Robert. H Wade</w:t>
      </w:r>
    </w:p>
    <w:p w:rsidR="00E25DE9" w:rsidRPr="001C2DF8" w:rsidRDefault="00E25DE9" w:rsidP="007B70B2">
      <w:pPr>
        <w:jc w:val="center"/>
        <w:rPr>
          <w:b/>
        </w:rPr>
      </w:pPr>
    </w:p>
    <w:p w:rsidR="00324F02" w:rsidRPr="001C2DF8" w:rsidRDefault="00324F02" w:rsidP="007B70B2">
      <w:pPr>
        <w:rPr>
          <w:b/>
        </w:rPr>
      </w:pPr>
    </w:p>
    <w:p w:rsidR="00E25DE9" w:rsidRPr="001C2DF8" w:rsidRDefault="003869D2" w:rsidP="007B70B2">
      <w:pPr>
        <w:ind w:firstLine="708"/>
        <w:jc w:val="both"/>
      </w:pPr>
      <w:r w:rsidRPr="001C2DF8">
        <w:t xml:space="preserve">Mióta a kommunizmus véget ért, a kelet-európai </w:t>
      </w:r>
      <w:r w:rsidR="00E25DE9" w:rsidRPr="001C2DF8">
        <w:t xml:space="preserve">„rendszerváltó” államok politikusai és politikai elemzői a kelet-ázsiai fejlődés </w:t>
      </w:r>
      <w:r w:rsidRPr="001C2DF8">
        <w:t>tanulmányozásával tudatosan felhagytak. Mindeközben készségesen foglalkoznak N</w:t>
      </w:r>
      <w:r w:rsidR="00E25DE9" w:rsidRPr="001C2DF8">
        <w:t xml:space="preserve">yugat-Európa és </w:t>
      </w:r>
      <w:r w:rsidRPr="001C2DF8">
        <w:t>É</w:t>
      </w:r>
      <w:r w:rsidR="00E25DE9" w:rsidRPr="001C2DF8">
        <w:t>szak-Amerika történetével</w:t>
      </w:r>
      <w:r w:rsidRPr="001C2DF8">
        <w:t xml:space="preserve"> – </w:t>
      </w:r>
      <w:r w:rsidR="00066AAC" w:rsidRPr="001C2DF8">
        <w:t>hiszen ez az a világ, amelyhez szívük szerint tar</w:t>
      </w:r>
      <w:r w:rsidR="00962929">
        <w:t>t</w:t>
      </w:r>
      <w:r w:rsidR="00066AAC" w:rsidRPr="001C2DF8">
        <w:t xml:space="preserve">oznának, vagy ahová a kommunizmus elmúltával visszatérnének. </w:t>
      </w:r>
      <w:r w:rsidR="00A85DE8" w:rsidRPr="001C2DF8">
        <w:t xml:space="preserve">Nyugat-Európa és Észak-Amerika gazdasági virágzásának </w:t>
      </w:r>
      <w:r w:rsidR="00E25DE9" w:rsidRPr="001C2DF8">
        <w:t>okait nagyobb részük a</w:t>
      </w:r>
      <w:r w:rsidR="00A85DE8" w:rsidRPr="001C2DF8">
        <w:t xml:space="preserve"> „liberális” g</w:t>
      </w:r>
      <w:r w:rsidR="005877E5" w:rsidRPr="001C2DF8">
        <w:t>azdaságpolitikának tulajdonítja:</w:t>
      </w:r>
      <w:r w:rsidR="00A85DE8" w:rsidRPr="001C2DF8">
        <w:t xml:space="preserve"> </w:t>
      </w:r>
      <w:r w:rsidR="00F150DB">
        <w:t>(</w:t>
      </w:r>
      <w:r w:rsidR="00E25DE9" w:rsidRPr="001C2DF8">
        <w:t>a) a javak és a</w:t>
      </w:r>
      <w:r w:rsidR="00A85DE8" w:rsidRPr="001C2DF8">
        <w:t xml:space="preserve"> vagyon a </w:t>
      </w:r>
      <w:r w:rsidR="00E25DE9" w:rsidRPr="001C2DF8">
        <w:t xml:space="preserve">politika által csupán enyhén korlátozott </w:t>
      </w:r>
      <w:r w:rsidR="00A85DE8" w:rsidRPr="001C2DF8">
        <w:t>szabad piacának</w:t>
      </w:r>
      <w:r w:rsidR="00E25DE9" w:rsidRPr="001C2DF8">
        <w:t xml:space="preserve">, (b) </w:t>
      </w:r>
      <w:r w:rsidR="005877E5" w:rsidRPr="001C2DF8">
        <w:t>a biztonságos haszon</w:t>
      </w:r>
      <w:r w:rsidR="00E25DE9" w:rsidRPr="001C2DF8">
        <w:t xml:space="preserve">szerzést lehetővé tevő </w:t>
      </w:r>
      <w:r w:rsidR="00A85DE8" w:rsidRPr="001C2DF8">
        <w:t>pontosan meghatározott és könnyen érvényesíthető</w:t>
      </w:r>
      <w:r w:rsidR="00E25DE9" w:rsidRPr="001C2DF8">
        <w:t xml:space="preserve"> tulajdonosi jogok</w:t>
      </w:r>
      <w:r w:rsidR="00A85DE8" w:rsidRPr="001C2DF8">
        <w:t>nak</w:t>
      </w:r>
      <w:r w:rsidR="00E25DE9" w:rsidRPr="001C2DF8">
        <w:t xml:space="preserve">, valamint (c) a kormányt és valamennyi piaci szereplőt </w:t>
      </w:r>
      <w:r w:rsidR="00A85DE8" w:rsidRPr="001C2DF8">
        <w:t xml:space="preserve">a </w:t>
      </w:r>
      <w:r w:rsidR="00E25DE9" w:rsidRPr="001C2DF8">
        <w:t>közös szabályozás hatálya alá vonó jogrend</w:t>
      </w:r>
      <w:r w:rsidR="00A85DE8" w:rsidRPr="001C2DF8">
        <w:t xml:space="preserve">nek. A kelet-európaiak ezt a kombinációt annak reményében </w:t>
      </w:r>
      <w:r w:rsidR="00066AAC" w:rsidRPr="001C2DF8">
        <w:t>vennék át</w:t>
      </w:r>
      <w:r w:rsidR="00A85DE8" w:rsidRPr="001C2DF8">
        <w:t xml:space="preserve">, hogy </w:t>
      </w:r>
      <w:r w:rsidR="00066AAC" w:rsidRPr="001C2DF8">
        <w:t>jutalmuk</w:t>
      </w:r>
      <w:r w:rsidR="005877E5" w:rsidRPr="001C2DF8">
        <w:t xml:space="preserve"> „felzárkózás” lesz. S h</w:t>
      </w:r>
      <w:r w:rsidR="00E25DE9" w:rsidRPr="001C2DF8">
        <w:t xml:space="preserve">a egyáltalán foglalkoznak a kelet-ázsiai </w:t>
      </w:r>
      <w:r w:rsidR="005877E5" w:rsidRPr="001C2DF8">
        <w:t>fejlődés történetével</w:t>
      </w:r>
      <w:r w:rsidR="00E25DE9" w:rsidRPr="001C2DF8">
        <w:t xml:space="preserve">, úgy abban is ugyanennek a modellnek a megvalósulását látják. </w:t>
      </w:r>
      <w:r w:rsidR="002E6D84" w:rsidRPr="001C2DF8">
        <w:t>Még h</w:t>
      </w:r>
      <w:r w:rsidR="00C66884" w:rsidRPr="001C2DF8">
        <w:t>a valamelyest el is ismerik a proaktív ipari és technológiai politika</w:t>
      </w:r>
      <w:r w:rsidR="0004696C">
        <w:t xml:space="preserve"> szerepét</w:t>
      </w:r>
      <w:r w:rsidR="00C66884" w:rsidRPr="001C2DF8">
        <w:t xml:space="preserve"> Nyugat-</w:t>
      </w:r>
      <w:r w:rsidR="0004696C" w:rsidRPr="001C2DF8">
        <w:t>Európ</w:t>
      </w:r>
      <w:r w:rsidR="0004696C">
        <w:t>a</w:t>
      </w:r>
      <w:r w:rsidR="0004696C" w:rsidRPr="001C2DF8">
        <w:t xml:space="preserve"> </w:t>
      </w:r>
      <w:r w:rsidR="00C66884" w:rsidRPr="001C2DF8">
        <w:t>vagy Kelet-</w:t>
      </w:r>
      <w:r w:rsidR="0004696C" w:rsidRPr="001C2DF8">
        <w:t>Ázsi</w:t>
      </w:r>
      <w:r w:rsidR="0004696C">
        <w:t>a</w:t>
      </w:r>
      <w:r w:rsidR="0004696C" w:rsidRPr="001C2DF8">
        <w:t xml:space="preserve"> </w:t>
      </w:r>
      <w:r w:rsidR="0004696C">
        <w:t>fejlődésében</w:t>
      </w:r>
      <w:r w:rsidR="00C66884" w:rsidRPr="001C2DF8">
        <w:t xml:space="preserve">, </w:t>
      </w:r>
      <w:r w:rsidR="0041391F">
        <w:t xml:space="preserve">de összességében </w:t>
      </w:r>
      <w:r w:rsidR="0004696C">
        <w:t>csak</w:t>
      </w:r>
      <w:r w:rsidR="00F150DB">
        <w:t xml:space="preserve"> </w:t>
      </w:r>
      <w:r w:rsidR="0004696C">
        <w:t xml:space="preserve">a szabad piac politikájától való lényegtelen eltérést látják benne. </w:t>
      </w:r>
    </w:p>
    <w:p w:rsidR="00F1209C" w:rsidRPr="001C2DF8" w:rsidRDefault="00E25DE9" w:rsidP="00F1209C">
      <w:pPr>
        <w:ind w:firstLine="708"/>
        <w:jc w:val="both"/>
      </w:pPr>
      <w:r w:rsidRPr="001C2DF8">
        <w:t xml:space="preserve">A kelet-európai politika alakítói és elemzői a legutolsósorban kívánnak maguknak olyan államot, amely azért avatkozik be a határain belüli gazdasági tevékenységbe, hogy annak összetételén módosítson </w:t>
      </w:r>
      <w:r w:rsidR="002E6D84" w:rsidRPr="001C2DF8">
        <w:t>- ez az, amit a kommunista hatalom</w:t>
      </w:r>
      <w:r w:rsidRPr="001C2DF8">
        <w:t xml:space="preserve"> már megtett, s amelynek hatása katasztrofális volt.</w:t>
      </w:r>
      <w:r w:rsidR="00C66884" w:rsidRPr="001C2DF8">
        <w:t xml:space="preserve"> E</w:t>
      </w:r>
      <w:r w:rsidRPr="001C2DF8">
        <w:t xml:space="preserve">zért </w:t>
      </w:r>
      <w:r w:rsidR="00C66884" w:rsidRPr="001C2DF8">
        <w:t xml:space="preserve">is </w:t>
      </w:r>
      <w:r w:rsidR="00F1209C" w:rsidRPr="001C2DF8">
        <w:t xml:space="preserve">gondolják </w:t>
      </w:r>
      <w:r w:rsidR="002E6D84" w:rsidRPr="001C2DF8">
        <w:t>úgy, hogy a szabad</w:t>
      </w:r>
      <w:r w:rsidRPr="001C2DF8">
        <w:t>piac az egyetlen választási leh</w:t>
      </w:r>
      <w:r w:rsidR="002E6D84" w:rsidRPr="001C2DF8">
        <w:t>etőség</w:t>
      </w:r>
      <w:r w:rsidR="00F1209C" w:rsidRPr="001C2DF8">
        <w:t>.</w:t>
      </w:r>
      <w:r w:rsidR="002E6D84" w:rsidRPr="001C2DF8">
        <w:t xml:space="preserve"> </w:t>
      </w:r>
      <w:r w:rsidR="00F1209C" w:rsidRPr="001C2DF8">
        <w:t xml:space="preserve">A kelet-európai konszenzus értelmében a felzárkózás stratégiája ezért a következő lépésekből áll: </w:t>
      </w:r>
    </w:p>
    <w:p w:rsidR="00C66884" w:rsidRPr="001C2DF8" w:rsidRDefault="00C66884" w:rsidP="007B70B2">
      <w:pPr>
        <w:jc w:val="both"/>
      </w:pPr>
    </w:p>
    <w:p w:rsidR="00C66884" w:rsidRPr="001C2DF8" w:rsidRDefault="00C66884" w:rsidP="007B70B2">
      <w:pPr>
        <w:jc w:val="both"/>
      </w:pPr>
      <w:r w:rsidRPr="001C2DF8">
        <w:t>a) a piac liberalizációja</w:t>
      </w:r>
      <w:r w:rsidR="005C4090" w:rsidRPr="001C2DF8">
        <w:t xml:space="preserve"> </w:t>
      </w:r>
      <w:r w:rsidRPr="001C2DF8">
        <w:t>és az ahhoz társuló intézményi reformok, különös tekintettel az állam újbóli kivonására a gazdaságból</w:t>
      </w:r>
    </w:p>
    <w:p w:rsidR="00C66884" w:rsidRPr="001C2DF8" w:rsidRDefault="00C66884" w:rsidP="007B70B2">
      <w:pPr>
        <w:jc w:val="both"/>
      </w:pPr>
      <w:r w:rsidRPr="001C2DF8">
        <w:t xml:space="preserve">b) az állami tulajdonú vállalkozások teljes és a közszolgáltatások lehető legnagyobb mértékű privatizációja   </w:t>
      </w:r>
    </w:p>
    <w:p w:rsidR="00C66884" w:rsidRPr="001C2DF8" w:rsidRDefault="00C66884" w:rsidP="007B70B2">
      <w:pPr>
        <w:jc w:val="both"/>
      </w:pPr>
      <w:r w:rsidRPr="001C2DF8">
        <w:t>c)</w:t>
      </w:r>
      <w:r w:rsidR="005C4090" w:rsidRPr="001C2DF8">
        <w:t xml:space="preserve"> az európai uniós</w:t>
      </w:r>
      <w:r w:rsidR="003E1CBE" w:rsidRPr="001C2DF8">
        <w:t xml:space="preserve"> tagság elnyerése, illetve, ha a</w:t>
      </w:r>
      <w:r w:rsidRPr="001C2DF8">
        <w:t>z</w:t>
      </w:r>
      <w:r w:rsidR="005C4090" w:rsidRPr="001C2DF8">
        <w:t xml:space="preserve"> aktuálisan</w:t>
      </w:r>
      <w:r w:rsidRPr="001C2DF8">
        <w:t xml:space="preserve"> elérhetetlen, </w:t>
      </w:r>
      <w:r w:rsidR="003E1CBE" w:rsidRPr="001C2DF8">
        <w:t xml:space="preserve">a </w:t>
      </w:r>
      <w:r w:rsidRPr="001C2DF8">
        <w:t>kedvez</w:t>
      </w:r>
      <w:r w:rsidR="005C4090" w:rsidRPr="001C2DF8">
        <w:t xml:space="preserve">ményes kereskedelmi egyezség megkötése </w:t>
      </w:r>
      <w:r w:rsidRPr="001C2DF8">
        <w:t xml:space="preserve">az EU-val </w:t>
      </w:r>
    </w:p>
    <w:p w:rsidR="00C66884" w:rsidRPr="001C2DF8" w:rsidRDefault="00C66884" w:rsidP="007B70B2">
      <w:pPr>
        <w:jc w:val="both"/>
        <w:rPr>
          <w:b/>
        </w:rPr>
      </w:pPr>
      <w:r w:rsidRPr="001C2DF8">
        <w:t>d)</w:t>
      </w:r>
      <w:r w:rsidR="005C4090" w:rsidRPr="001C2DF8">
        <w:t xml:space="preserve"> nagyszámú közvetlen külföldi beruházás</w:t>
      </w:r>
      <w:r w:rsidRPr="001C2DF8">
        <w:t xml:space="preserve"> </w:t>
      </w:r>
      <w:r w:rsidR="005C4090" w:rsidRPr="001C2DF8">
        <w:t>(</w:t>
      </w:r>
      <w:r w:rsidR="0041391F">
        <w:t>FDI</w:t>
      </w:r>
      <w:r w:rsidR="005C4090" w:rsidRPr="001C2DF8">
        <w:t xml:space="preserve">) bevonzása </w:t>
      </w:r>
      <w:r w:rsidRPr="001C2DF8">
        <w:t>annak reményében, hogy ezek export</w:t>
      </w:r>
      <w:r w:rsidR="0041391F">
        <w:t>ra</w:t>
      </w:r>
      <w:r w:rsidRPr="001C2DF8">
        <w:t xml:space="preserve"> termelnek majd és </w:t>
      </w:r>
      <w:r w:rsidR="0041391F">
        <w:t>hozzájárulnak az elavult termelőkapacitások megújításához,</w:t>
      </w:r>
      <w:r w:rsidRPr="001C2DF8">
        <w:rPr>
          <w:b/>
        </w:rPr>
        <w:t xml:space="preserve"> </w:t>
      </w:r>
    </w:p>
    <w:p w:rsidR="00C66884" w:rsidRPr="001C2DF8" w:rsidRDefault="00C66884" w:rsidP="007B70B2">
      <w:pPr>
        <w:jc w:val="both"/>
      </w:pPr>
      <w:r w:rsidRPr="001C2DF8">
        <w:t xml:space="preserve">e) </w:t>
      </w:r>
      <w:r w:rsidR="005C4090" w:rsidRPr="001C2DF8">
        <w:t xml:space="preserve">jelentős mennyiségű </w:t>
      </w:r>
      <w:r w:rsidRPr="001C2DF8">
        <w:t xml:space="preserve">segély elnyerése (regionális alapok az új EU tagok számára)    </w:t>
      </w:r>
    </w:p>
    <w:p w:rsidR="00C66884" w:rsidRPr="001C2DF8" w:rsidRDefault="00C66884" w:rsidP="007B70B2">
      <w:pPr>
        <w:jc w:val="both"/>
      </w:pPr>
    </w:p>
    <w:p w:rsidR="00591EA4" w:rsidRPr="001C2DF8" w:rsidRDefault="005C4090" w:rsidP="00A60AF9">
      <w:pPr>
        <w:ind w:firstLine="708"/>
        <w:jc w:val="both"/>
      </w:pPr>
      <w:r w:rsidRPr="001C2DF8">
        <w:t xml:space="preserve">Mi </w:t>
      </w:r>
      <w:r w:rsidR="006A3052" w:rsidRPr="001C2DF8">
        <w:t xml:space="preserve">is </w:t>
      </w:r>
      <w:r w:rsidRPr="001C2DF8">
        <w:t>a gond e</w:t>
      </w:r>
      <w:r w:rsidR="006A3052" w:rsidRPr="001C2DF8">
        <w:t xml:space="preserve"> konszenzussal? Nos, több sebből is vérzik</w:t>
      </w:r>
      <w:r w:rsidRPr="001C2DF8">
        <w:t>. Először is, a liberalizáció a kínai vagy más</w:t>
      </w:r>
      <w:r w:rsidR="006A3052" w:rsidRPr="001C2DF8">
        <w:t xml:space="preserve"> kelet-ázsiai termelőkke</w:t>
      </w:r>
      <w:r w:rsidRPr="001C2DF8">
        <w:t>l közvetlen versengésre kényszeríti</w:t>
      </w:r>
      <w:r w:rsidR="0041391F">
        <w:t xml:space="preserve"> a helyi vállalkozásokat miközben a hoz</w:t>
      </w:r>
      <w:r w:rsidR="00F150DB">
        <w:t>a</w:t>
      </w:r>
      <w:r w:rsidR="0041391F">
        <w:t>mráták már amúgy is csökkennek</w:t>
      </w:r>
      <w:r w:rsidR="006A3052" w:rsidRPr="001C2DF8">
        <w:t xml:space="preserve">. </w:t>
      </w:r>
      <w:r w:rsidRPr="001C2DF8">
        <w:t xml:space="preserve">Másodszor, a </w:t>
      </w:r>
      <w:r w:rsidR="009D2087">
        <w:t>külföldi működőtőke-beruházások</w:t>
      </w:r>
      <w:r w:rsidR="006A3052" w:rsidRPr="001C2DF8">
        <w:t xml:space="preserve"> (</w:t>
      </w:r>
      <w:r w:rsidR="0041391F">
        <w:t>FDI</w:t>
      </w:r>
      <w:r w:rsidRPr="001C2DF8">
        <w:t>) aligha lehet</w:t>
      </w:r>
      <w:r w:rsidR="009D2087">
        <w:t>nek</w:t>
      </w:r>
      <w:r w:rsidRPr="001C2DF8">
        <w:t xml:space="preserve"> a felzárkózás meghatározó </w:t>
      </w:r>
      <w:r w:rsidR="009D2087">
        <w:t>eszközei</w:t>
      </w:r>
      <w:r w:rsidRPr="001C2DF8">
        <w:t>.</w:t>
      </w:r>
      <w:r w:rsidR="001E25BD" w:rsidRPr="001C2DF8">
        <w:t xml:space="preserve"> </w:t>
      </w:r>
      <w:r w:rsidRPr="001C2DF8">
        <w:t xml:space="preserve"> </w:t>
      </w:r>
      <w:r w:rsidR="001E25BD" w:rsidRPr="001C2DF8">
        <w:t xml:space="preserve">1998 óta ilyen beruházásból nem különösebben sokra került sor </w:t>
      </w:r>
      <w:r w:rsidR="00066AAC" w:rsidRPr="001C2DF8">
        <w:t xml:space="preserve">a </w:t>
      </w:r>
      <w:r w:rsidRPr="001C2DF8">
        <w:t>térségbe</w:t>
      </w:r>
      <w:r w:rsidR="001E25BD" w:rsidRPr="001C2DF8">
        <w:t>n</w:t>
      </w:r>
      <w:r w:rsidRPr="001C2DF8">
        <w:t>: 1998 és 2003 között</w:t>
      </w:r>
      <w:r w:rsidR="001E25BD" w:rsidRPr="001C2DF8">
        <w:t xml:space="preserve"> K</w:t>
      </w:r>
      <w:r w:rsidRPr="001C2DF8">
        <w:t xml:space="preserve">elet-Európa, a </w:t>
      </w:r>
      <w:r w:rsidR="001E25BD" w:rsidRPr="001C2DF8">
        <w:t>Független Államok Közössége (FÁK</w:t>
      </w:r>
      <w:r w:rsidRPr="001C2DF8">
        <w:t xml:space="preserve">) és a néhai Jugoszlávia a világ </w:t>
      </w:r>
      <w:r w:rsidR="009D2087">
        <w:t>külföldi működőtőke-beruházás</w:t>
      </w:r>
      <w:r w:rsidR="009D2087" w:rsidRPr="001C2DF8">
        <w:t>ai</w:t>
      </w:r>
      <w:r w:rsidR="009D2087">
        <w:t>ból</w:t>
      </w:r>
      <w:r w:rsidR="009D2087" w:rsidRPr="001C2DF8">
        <w:t xml:space="preserve"> </w:t>
      </w:r>
      <w:r w:rsidR="001E25BD" w:rsidRPr="001C2DF8">
        <w:t>mindössze három százalék</w:t>
      </w:r>
      <w:r w:rsidRPr="001C2DF8">
        <w:t>ban részesült. S ennek jelentős részét a belfö</w:t>
      </w:r>
      <w:r w:rsidR="003E1CBE" w:rsidRPr="001C2DF8">
        <w:t xml:space="preserve">ldi </w:t>
      </w:r>
      <w:r w:rsidR="009D2087">
        <w:t>értékesítési lehetőségek</w:t>
      </w:r>
      <w:r w:rsidR="003E1CBE" w:rsidRPr="001C2DF8">
        <w:t xml:space="preserve"> </w:t>
      </w:r>
      <w:r w:rsidR="009D2087" w:rsidRPr="001C2DF8">
        <w:t>ösztönözt</w:t>
      </w:r>
      <w:r w:rsidR="009D2087">
        <w:t>ék</w:t>
      </w:r>
      <w:r w:rsidR="003E1CBE" w:rsidRPr="001C2DF8">
        <w:t>,</w:t>
      </w:r>
      <w:r w:rsidRPr="001C2DF8">
        <w:t xml:space="preserve"> nem </w:t>
      </w:r>
      <w:r w:rsidR="003E1CBE" w:rsidRPr="001C2DF8">
        <w:t xml:space="preserve">pedig </w:t>
      </w:r>
      <w:r w:rsidR="00066AAC" w:rsidRPr="001C2DF8">
        <w:t>a</w:t>
      </w:r>
      <w:r w:rsidR="009D2087">
        <w:t>z</w:t>
      </w:r>
      <w:r w:rsidR="00F150DB">
        <w:t xml:space="preserve"> </w:t>
      </w:r>
      <w:r w:rsidR="009D2087">
        <w:t xml:space="preserve">alacsony </w:t>
      </w:r>
      <w:r w:rsidRPr="001C2DF8">
        <w:t>bérek</w:t>
      </w:r>
      <w:r w:rsidR="009D2087">
        <w:t>re</w:t>
      </w:r>
      <w:r w:rsidRPr="001C2DF8">
        <w:t xml:space="preserve"> és</w:t>
      </w:r>
      <w:r w:rsidR="00F150DB">
        <w:t xml:space="preserve"> </w:t>
      </w:r>
      <w:r w:rsidRPr="001C2DF8">
        <w:t>adók</w:t>
      </w:r>
      <w:r w:rsidR="009D2087">
        <w:t>ra</w:t>
      </w:r>
      <w:r w:rsidRPr="001C2DF8">
        <w:t xml:space="preserve"> </w:t>
      </w:r>
      <w:r w:rsidR="009D2087">
        <w:t>épített, a</w:t>
      </w:r>
      <w:r w:rsidR="00066AAC" w:rsidRPr="001C2DF8">
        <w:t xml:space="preserve"> </w:t>
      </w:r>
      <w:r w:rsidR="009D2087">
        <w:t xml:space="preserve">magas </w:t>
      </w:r>
      <w:r w:rsidR="009D2087" w:rsidRPr="001C2DF8">
        <w:t>jövedelm</w:t>
      </w:r>
      <w:r w:rsidR="009D2087">
        <w:t>ű</w:t>
      </w:r>
      <w:r w:rsidR="009D2087" w:rsidRPr="001C2DF8">
        <w:t xml:space="preserve"> </w:t>
      </w:r>
      <w:r w:rsidR="009D2087">
        <w:t>országokba</w:t>
      </w:r>
      <w:r w:rsidR="009D2087" w:rsidRPr="001C2DF8" w:rsidDel="009D2087">
        <w:t xml:space="preserve"> </w:t>
      </w:r>
      <w:r w:rsidR="009D2087">
        <w:t>irányuló export lehetősége,</w:t>
      </w:r>
      <w:r w:rsidR="003E1CBE" w:rsidRPr="001C2DF8">
        <w:t xml:space="preserve">, hiszen </w:t>
      </w:r>
      <w:r w:rsidR="00A60AF9" w:rsidRPr="001C2DF8">
        <w:t xml:space="preserve">Kelet-Európában a </w:t>
      </w:r>
      <w:r w:rsidR="001E25BD" w:rsidRPr="001C2DF8">
        <w:t xml:space="preserve">fizetések </w:t>
      </w:r>
      <w:r w:rsidRPr="001C2DF8">
        <w:t>jó</w:t>
      </w:r>
      <w:r w:rsidR="001E25BD" w:rsidRPr="001C2DF8">
        <w:t xml:space="preserve">val magasabbak, </w:t>
      </w:r>
      <w:r w:rsidR="002E6D84" w:rsidRPr="001C2DF8">
        <w:t>mint Kelet-Á</w:t>
      </w:r>
      <w:r w:rsidRPr="001C2DF8">
        <w:t>zsia</w:t>
      </w:r>
      <w:r w:rsidR="002E6D84" w:rsidRPr="001C2DF8">
        <w:t xml:space="preserve"> jelentős részén,</w:t>
      </w:r>
      <w:r w:rsidRPr="001C2DF8">
        <w:t xml:space="preserve"> </w:t>
      </w:r>
      <w:r w:rsidR="001E25BD" w:rsidRPr="001C2DF8">
        <w:t xml:space="preserve">míg a munkatermelékenységről </w:t>
      </w:r>
      <w:r w:rsidR="001E25BD" w:rsidRPr="001C2DF8">
        <w:lastRenderedPageBreak/>
        <w:t>ugyanez nem mondaható el</w:t>
      </w:r>
      <w:r w:rsidR="00D364F6">
        <w:t xml:space="preserve"> </w:t>
      </w:r>
      <w:r w:rsidR="00D364F6" w:rsidRPr="00D364F6">
        <w:t>(Collignon, 2004)</w:t>
      </w:r>
      <w:r w:rsidR="00D364F6">
        <w:t>.</w:t>
      </w:r>
      <w:r w:rsidRPr="001C2DF8">
        <w:t xml:space="preserve"> </w:t>
      </w:r>
      <w:r w:rsidR="00591EA4" w:rsidRPr="002D5A8D">
        <w:t xml:space="preserve">Harmadszor, </w:t>
      </w:r>
      <w:r w:rsidR="002D5A8D" w:rsidRPr="002D5A8D">
        <w:t xml:space="preserve">ez a radikális liberalizációs program </w:t>
      </w:r>
      <w:r w:rsidR="00591EA4" w:rsidRPr="002D5A8D">
        <w:t>elnyomorító növekedéshez</w:t>
      </w:r>
      <w:r w:rsidR="002D5A8D">
        <w:rPr>
          <w:rStyle w:val="Lbjegyzet-hivatkozs"/>
        </w:rPr>
        <w:footnoteReference w:id="1"/>
      </w:r>
      <w:r w:rsidR="00591EA4" w:rsidRPr="002D5A8D">
        <w:t xml:space="preserve"> </w:t>
      </w:r>
      <w:r w:rsidR="002D5A8D" w:rsidRPr="002D5A8D">
        <w:t>és lefelé tartó versenyhez</w:t>
      </w:r>
      <w:r w:rsidR="00591EA4" w:rsidRPr="002D5A8D">
        <w:t xml:space="preserve"> </w:t>
      </w:r>
      <w:r w:rsidR="002D5A8D" w:rsidRPr="002D5A8D">
        <w:t>(</w:t>
      </w:r>
      <w:r w:rsidR="00591EA4" w:rsidRPr="002D5A8D">
        <w:t>race to the bottom</w:t>
      </w:r>
      <w:r w:rsidR="002D5A8D" w:rsidRPr="002D5A8D">
        <w:t>)</w:t>
      </w:r>
      <w:r w:rsidR="00591EA4" w:rsidRPr="002D5A8D">
        <w:t xml:space="preserve"> </w:t>
      </w:r>
      <w:r w:rsidR="002D5A8D" w:rsidRPr="002D5A8D">
        <w:t>vezet</w:t>
      </w:r>
      <w:r w:rsidR="00591EA4" w:rsidRPr="002D5A8D">
        <w:t xml:space="preserve">. </w:t>
      </w:r>
    </w:p>
    <w:p w:rsidR="00066AAC" w:rsidRPr="001C2DF8" w:rsidRDefault="00F1209C" w:rsidP="007B70B2">
      <w:pPr>
        <w:ind w:firstLine="708"/>
        <w:jc w:val="both"/>
      </w:pPr>
      <w:r w:rsidRPr="001C2DF8">
        <w:t xml:space="preserve">E rossz választások előbb-utóbb arra kényszeríthetik a kelet-európai döntéshozókat és elemzőket, hogy újragondolják: valóban a szabad piacok </w:t>
      </w:r>
      <w:r w:rsidR="002D5A8D">
        <w:t>felé vezet</w:t>
      </w:r>
      <w:r w:rsidRPr="001C2DF8">
        <w:t xml:space="preserve"> a felzárkózás út</w:t>
      </w:r>
      <w:r w:rsidR="002D5A8D">
        <w:t>ja</w:t>
      </w:r>
      <w:r w:rsidRPr="001C2DF8">
        <w:t xml:space="preserve">? </w:t>
      </w:r>
      <w:r w:rsidR="006339AB" w:rsidRPr="001C2DF8">
        <w:t>Ezt követően már a kelet-ázsiai államok fejlődéstörténetére is nyitottabbak le</w:t>
      </w:r>
      <w:r w:rsidR="0021380E" w:rsidRPr="001C2DF8">
        <w:t>n</w:t>
      </w:r>
      <w:r w:rsidR="006339AB" w:rsidRPr="001C2DF8">
        <w:t xml:space="preserve">nének. A belátás első jeleként felismerhetnék, hogy a központi tervezés nem azonos a központi elosztással. A központi elosztás a kommunizmus elhasznált és hiteltelenített fogalma. Ugyanakkor, </w:t>
      </w:r>
      <w:r w:rsidR="00066AAC" w:rsidRPr="001C2DF8">
        <w:t>a központi tervezés</w:t>
      </w:r>
      <w:r w:rsidR="006339AB" w:rsidRPr="001C2DF8">
        <w:t xml:space="preserve"> tágabb</w:t>
      </w:r>
      <w:r w:rsidR="00D520F8">
        <w:t>an</w:t>
      </w:r>
      <w:r w:rsidR="006339AB" w:rsidRPr="001C2DF8">
        <w:t xml:space="preserve"> értelmezett</w:t>
      </w:r>
      <w:r w:rsidR="00066AAC" w:rsidRPr="001C2DF8">
        <w:t xml:space="preserve"> </w:t>
      </w:r>
      <w:r w:rsidR="006339AB" w:rsidRPr="001C2DF8">
        <w:t>rendszere</w:t>
      </w:r>
      <w:r w:rsidR="00D520F8">
        <w:t xml:space="preserve"> – olyan, a kapitalizmus keretein belül maradó állami beavatkozás a gazdaság működésébe, mely a hosszútávú gazdasági fejlődés célját szolgálja </w:t>
      </w:r>
      <w:r w:rsidR="003E1CBE" w:rsidRPr="001C2DF8">
        <w:t xml:space="preserve">– </w:t>
      </w:r>
      <w:r w:rsidR="006339AB" w:rsidRPr="001C2DF8">
        <w:t>él és virágzik Kelet-Ázsiában. Kelet-Európának</w:t>
      </w:r>
      <w:r w:rsidR="002E6D84" w:rsidRPr="001C2DF8">
        <w:t xml:space="preserve"> fel kell ismernie </w:t>
      </w:r>
      <w:r w:rsidR="006339AB" w:rsidRPr="001C2DF8">
        <w:t>az ebben rejlő lehetőséget.</w:t>
      </w:r>
      <w:r w:rsidR="00066AAC" w:rsidRPr="001C2DF8">
        <w:t xml:space="preserve"> </w:t>
      </w:r>
      <w:r w:rsidR="00D520F8">
        <w:t>A</w:t>
      </w:r>
      <w:r w:rsidR="00066AAC" w:rsidRPr="001C2DF8">
        <w:t xml:space="preserve"> „központi tervez</w:t>
      </w:r>
      <w:r w:rsidR="003E1CBE" w:rsidRPr="001C2DF8">
        <w:t>és” fogalmáról le kell mondan</w:t>
      </w:r>
      <w:r w:rsidR="00D520F8">
        <w:t>unk</w:t>
      </w:r>
      <w:r w:rsidR="00066AAC" w:rsidRPr="001C2DF8">
        <w:t>, hisz</w:t>
      </w:r>
      <w:r w:rsidR="00D520F8">
        <w:t xml:space="preserve"> ez elfogadhatatlan </w:t>
      </w:r>
      <w:r w:rsidR="00066AAC" w:rsidRPr="001C2DF8">
        <w:t>a hatal</w:t>
      </w:r>
      <w:r w:rsidR="00D520F8">
        <w:t>om birtokosai</w:t>
      </w:r>
      <w:r w:rsidR="00066AAC" w:rsidRPr="001C2DF8">
        <w:t xml:space="preserve"> sz</w:t>
      </w:r>
      <w:r w:rsidR="00D520F8">
        <w:t>ámára</w:t>
      </w:r>
      <w:r w:rsidR="00066AAC" w:rsidRPr="001C2DF8">
        <w:t xml:space="preserve">. </w:t>
      </w:r>
      <w:r w:rsidR="002E6D84" w:rsidRPr="001C2DF8">
        <w:t>A „</w:t>
      </w:r>
      <w:r w:rsidR="00066AAC" w:rsidRPr="001C2DF8">
        <w:t xml:space="preserve">piac kormányzása” </w:t>
      </w:r>
      <w:r w:rsidR="002E6D84" w:rsidRPr="001C2DF8">
        <w:t xml:space="preserve">terminus </w:t>
      </w:r>
      <w:r w:rsidR="003E1CBE" w:rsidRPr="001C2DF8">
        <w:t xml:space="preserve">már </w:t>
      </w:r>
      <w:r w:rsidR="00066AAC" w:rsidRPr="001C2DF8">
        <w:t xml:space="preserve">jóval elfogadhatóbban </w:t>
      </w:r>
      <w:r w:rsidR="0021380E" w:rsidRPr="001C2DF8">
        <w:t xml:space="preserve">cseng. </w:t>
      </w:r>
      <w:r w:rsidR="00066AAC" w:rsidRPr="001C2DF8">
        <w:t xml:space="preserve"> </w:t>
      </w:r>
    </w:p>
    <w:p w:rsidR="0040545C" w:rsidRPr="001C2DF8" w:rsidRDefault="0021380E" w:rsidP="00F1209C">
      <w:pPr>
        <w:ind w:firstLine="708"/>
        <w:jc w:val="both"/>
        <w:rPr>
          <w:b/>
        </w:rPr>
      </w:pPr>
      <w:r w:rsidRPr="001C2DF8">
        <w:t xml:space="preserve">Írásom </w:t>
      </w:r>
      <w:r w:rsidR="00700E3D" w:rsidRPr="001C2DF8">
        <w:t xml:space="preserve">összefoglaló jellegű, </w:t>
      </w:r>
      <w:r w:rsidR="003E1CBE" w:rsidRPr="001C2DF8">
        <w:t>a kapitalista K</w:t>
      </w:r>
      <w:r w:rsidR="00700E3D" w:rsidRPr="001C2DF8">
        <w:t xml:space="preserve">elet-Ázsiában (Dél-Korea, Tajvan, Japán) </w:t>
      </w:r>
      <w:r w:rsidR="003E1CBE" w:rsidRPr="001C2DF8">
        <w:t>végbement gazdasági fejlődésben</w:t>
      </w:r>
      <w:r w:rsidR="00700E3D" w:rsidRPr="001C2DF8">
        <w:t xml:space="preserve"> való állami szerepvállalás néhány lehetőségét értelmezem, elsőként a második világháború utáni évtizedeknek, majd a legutóbbi, nagyjából tíz esztendőt felölelő időszaknak a tükrében</w:t>
      </w:r>
      <w:r w:rsidR="00D364F6">
        <w:t xml:space="preserve"> (r</w:t>
      </w:r>
      <w:r w:rsidR="00D364F6" w:rsidRPr="00D364F6">
        <w:t>észletesebben ld. Wade, 2004)</w:t>
      </w:r>
      <w:r w:rsidR="00700E3D" w:rsidRPr="001C2DF8">
        <w:t>.</w:t>
      </w:r>
      <w:r w:rsidR="00F1209C" w:rsidRPr="001C2DF8">
        <w:t xml:space="preserve"> Hangsúlyoznom kell, hogy (a) a kelet-ázsiai ágazatokban alkalmazott ipari politikák és programok jelentős része ugyan egyszerű volt, összességében valószínűleg mégis jelentősen hozzájárultak ahhoz, hogy a gazdaságot egyre inkább a magas hozzáadott értékű tevékenységek határozták meg, (b) mindehhez nem volt szükség bonyolult számításokra és magasan képzett bürokráciára, (c) más fejlődő országok számára az ipari fejlődés </w:t>
      </w:r>
      <w:r w:rsidR="00F1209C" w:rsidRPr="00DF3571">
        <w:rPr>
          <w:i/>
        </w:rPr>
        <w:t>e normáinak</w:t>
      </w:r>
      <w:r w:rsidR="00F1209C" w:rsidRPr="001C2DF8">
        <w:t xml:space="preserve"> átvétele nem csupán lehetséges, hanem szüks</w:t>
      </w:r>
      <w:r w:rsidR="00F1209C" w:rsidRPr="00DF3571">
        <w:t>éges is, még</w:t>
      </w:r>
      <w:r w:rsidR="00DF3571" w:rsidRPr="00DF3571">
        <w:t xml:space="preserve"> ha nem is rendelkeznek a kelet-ázsiai államokéhoz mérhető</w:t>
      </w:r>
      <w:r w:rsidR="00F1209C" w:rsidRPr="00DF3571">
        <w:t xml:space="preserve"> eszköztár</w:t>
      </w:r>
      <w:r w:rsidR="00DF3571" w:rsidRPr="00DF3571">
        <w:t>ral.</w:t>
      </w:r>
      <w:r w:rsidRPr="001C2DF8">
        <w:rPr>
          <w:b/>
        </w:rPr>
        <w:t xml:space="preserve"> </w:t>
      </w:r>
    </w:p>
    <w:p w:rsidR="00DF3571" w:rsidRDefault="0021380E" w:rsidP="007B70B2">
      <w:pPr>
        <w:ind w:firstLine="708"/>
        <w:jc w:val="both"/>
      </w:pPr>
      <w:r w:rsidRPr="001C2DF8">
        <w:t>Mindezzel egy olyan komoly közgazdász elgondolásait vi</w:t>
      </w:r>
      <w:r w:rsidR="00775F4F" w:rsidRPr="001C2DF8">
        <w:t xml:space="preserve">tatom, mint amilyen Howard Pack, aki </w:t>
      </w:r>
      <w:r w:rsidRPr="001C2DF8">
        <w:t>az 1960 után</w:t>
      </w:r>
      <w:r w:rsidR="00A60AF9" w:rsidRPr="001C2DF8">
        <w:t>i koreai és japán ipar</w:t>
      </w:r>
      <w:r w:rsidR="00775F4F" w:rsidRPr="001C2DF8">
        <w:t>politikát</w:t>
      </w:r>
      <w:r w:rsidRPr="001C2DF8">
        <w:t xml:space="preserve"> tanulmányoz</w:t>
      </w:r>
      <w:r w:rsidR="00775F4F" w:rsidRPr="001C2DF8">
        <w:t xml:space="preserve">ta. Ő </w:t>
      </w:r>
      <w:r w:rsidRPr="001C2DF8">
        <w:t>arra a</w:t>
      </w:r>
      <w:r w:rsidR="00775F4F" w:rsidRPr="001C2DF8">
        <w:t xml:space="preserve"> következtetésre jutott, hogy </w:t>
      </w:r>
      <w:r w:rsidR="00DF3571">
        <w:t>e politikák nem sok eredménnyel jártak</w:t>
      </w:r>
      <w:r w:rsidRPr="001C2DF8">
        <w:t xml:space="preserve">, még </w:t>
      </w:r>
      <w:r w:rsidR="00DF3571">
        <w:t>a csúcsidőszakuknak számító hatvanas években sem. Pack megfogalmazásában:</w:t>
      </w:r>
    </w:p>
    <w:p w:rsidR="00775F4F" w:rsidRPr="00DF3571" w:rsidRDefault="00DF3571" w:rsidP="00DF3571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75F4F" w:rsidRPr="00DF3571">
        <w:rPr>
          <w:sz w:val="20"/>
          <w:szCs w:val="20"/>
        </w:rPr>
        <w:t>zok az országo</w:t>
      </w:r>
      <w:r w:rsidR="00A60AF9" w:rsidRPr="00DF3571">
        <w:rPr>
          <w:sz w:val="20"/>
          <w:szCs w:val="20"/>
        </w:rPr>
        <w:t>k, amelyek Japán és Korea ipar</w:t>
      </w:r>
      <w:r w:rsidR="00775F4F" w:rsidRPr="00DF3571">
        <w:rPr>
          <w:sz w:val="20"/>
          <w:szCs w:val="20"/>
        </w:rPr>
        <w:t>politikájá</w:t>
      </w:r>
      <w:r w:rsidRPr="00DF3571">
        <w:rPr>
          <w:sz w:val="20"/>
          <w:szCs w:val="20"/>
        </w:rPr>
        <w:t>hoz hasonló stratégiával szeretnének eredményeket elérni</w:t>
      </w:r>
      <w:r w:rsidR="00775F4F" w:rsidRPr="00DF3571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="003E1CBE" w:rsidRPr="00DF3571">
        <w:rPr>
          <w:sz w:val="20"/>
          <w:szCs w:val="20"/>
        </w:rPr>
        <w:t>nota bene</w:t>
      </w:r>
      <w:r w:rsidR="00E167A0" w:rsidRPr="00DF3571">
        <w:rPr>
          <w:sz w:val="20"/>
          <w:szCs w:val="20"/>
        </w:rPr>
        <w:t>:</w:t>
      </w:r>
      <w:r w:rsidR="003E1CBE" w:rsidRPr="00DF3571">
        <w:rPr>
          <w:sz w:val="20"/>
          <w:szCs w:val="20"/>
        </w:rPr>
        <w:t xml:space="preserve"> e</w:t>
      </w:r>
      <w:r w:rsidR="00775F4F" w:rsidRPr="00DF3571">
        <w:rPr>
          <w:sz w:val="20"/>
          <w:szCs w:val="20"/>
        </w:rPr>
        <w:t>z annyit tesz, hogy e politikának voltak előnyei</w:t>
      </w:r>
      <w:r>
        <w:rPr>
          <w:sz w:val="20"/>
          <w:szCs w:val="20"/>
        </w:rPr>
        <w:t>]</w:t>
      </w:r>
      <w:r w:rsidR="00775F4F" w:rsidRPr="00DF3571">
        <w:rPr>
          <w:sz w:val="20"/>
          <w:szCs w:val="20"/>
        </w:rPr>
        <w:t xml:space="preserve">, nem csupán </w:t>
      </w:r>
      <w:r w:rsidR="00775F4F" w:rsidRPr="00DF3571">
        <w:rPr>
          <w:i/>
          <w:sz w:val="20"/>
          <w:szCs w:val="20"/>
        </w:rPr>
        <w:t xml:space="preserve">különlegesen </w:t>
      </w:r>
      <w:r w:rsidRPr="00DF3571">
        <w:rPr>
          <w:i/>
          <w:sz w:val="20"/>
          <w:szCs w:val="20"/>
        </w:rPr>
        <w:t xml:space="preserve">jól képzett </w:t>
      </w:r>
      <w:r w:rsidR="00775F4F" w:rsidRPr="00DF3571">
        <w:rPr>
          <w:i/>
          <w:sz w:val="20"/>
          <w:szCs w:val="20"/>
        </w:rPr>
        <w:t>hivatalnoki réteggel</w:t>
      </w:r>
      <w:r w:rsidR="00775F4F" w:rsidRPr="00DF3571">
        <w:rPr>
          <w:sz w:val="20"/>
          <w:szCs w:val="20"/>
        </w:rPr>
        <w:t xml:space="preserve"> kell, hogy rendelkezzenek, de azzal a politi</w:t>
      </w:r>
      <w:r w:rsidR="003D4394" w:rsidRPr="00DF3571">
        <w:rPr>
          <w:sz w:val="20"/>
          <w:szCs w:val="20"/>
        </w:rPr>
        <w:t>kai képességgel is, hogy a működésképtelen cégeket megfosszák a támogatásoktól</w:t>
      </w:r>
      <w:r w:rsidR="003D4394" w:rsidRPr="00DF3571">
        <w:rPr>
          <w:b/>
          <w:sz w:val="20"/>
          <w:szCs w:val="20"/>
        </w:rPr>
        <w:t>.</w:t>
      </w:r>
      <w:r w:rsidR="003D4394" w:rsidRPr="00DF35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 </w:t>
      </w:r>
      <w:r w:rsidRPr="00DF3571">
        <w:rPr>
          <w:sz w:val="20"/>
          <w:szCs w:val="20"/>
        </w:rPr>
        <w:t>[</w:t>
      </w:r>
      <w:r w:rsidR="003D4394" w:rsidRPr="00DF3571">
        <w:rPr>
          <w:sz w:val="20"/>
          <w:szCs w:val="20"/>
        </w:rPr>
        <w:t>Így a fejlődő országok</w:t>
      </w:r>
      <w:r w:rsidRPr="00DF3571">
        <w:rPr>
          <w:sz w:val="20"/>
          <w:szCs w:val="20"/>
        </w:rPr>
        <w:t>]</w:t>
      </w:r>
      <w:r w:rsidR="00775F4F" w:rsidRPr="00DF3571">
        <w:rPr>
          <w:sz w:val="20"/>
          <w:szCs w:val="20"/>
        </w:rPr>
        <w:t xml:space="preserve"> </w:t>
      </w:r>
      <w:r w:rsidR="008E0964">
        <w:rPr>
          <w:sz w:val="20"/>
          <w:szCs w:val="20"/>
        </w:rPr>
        <w:t xml:space="preserve">csak </w:t>
      </w:r>
      <w:r w:rsidR="008E0964">
        <w:rPr>
          <w:i/>
          <w:sz w:val="20"/>
          <w:szCs w:val="20"/>
        </w:rPr>
        <w:t>kivételes</w:t>
      </w:r>
      <w:r w:rsidR="008E0964" w:rsidRPr="00DF3571">
        <w:rPr>
          <w:i/>
          <w:sz w:val="20"/>
          <w:szCs w:val="20"/>
        </w:rPr>
        <w:t xml:space="preserve"> körültekint</w:t>
      </w:r>
      <w:r w:rsidR="008E0964">
        <w:rPr>
          <w:i/>
          <w:sz w:val="20"/>
          <w:szCs w:val="20"/>
        </w:rPr>
        <w:t>éssel</w:t>
      </w:r>
      <w:r w:rsidR="008E0964" w:rsidRPr="00DF3571">
        <w:rPr>
          <w:sz w:val="20"/>
          <w:szCs w:val="20"/>
        </w:rPr>
        <w:t xml:space="preserve"> </w:t>
      </w:r>
      <w:r w:rsidR="008E0964">
        <w:rPr>
          <w:sz w:val="20"/>
          <w:szCs w:val="20"/>
        </w:rPr>
        <w:t>vállalkozhatnak</w:t>
      </w:r>
      <w:r w:rsidR="00775F4F" w:rsidRPr="00DF3571">
        <w:rPr>
          <w:sz w:val="20"/>
          <w:szCs w:val="20"/>
        </w:rPr>
        <w:t xml:space="preserve"> ilyesféle politikára</w:t>
      </w:r>
      <w:r w:rsidR="008E0964">
        <w:rPr>
          <w:sz w:val="20"/>
          <w:szCs w:val="20"/>
        </w:rPr>
        <w:t>.</w:t>
      </w:r>
      <w:r w:rsidR="000E75AB" w:rsidRPr="00DF3571">
        <w:rPr>
          <w:sz w:val="20"/>
          <w:szCs w:val="20"/>
        </w:rPr>
        <w:t xml:space="preserve"> (Pack, 2000</w:t>
      </w:r>
      <w:r w:rsidR="008E0964">
        <w:rPr>
          <w:sz w:val="20"/>
          <w:szCs w:val="20"/>
        </w:rPr>
        <w:t>, kiemelés tőlem</w:t>
      </w:r>
      <w:r w:rsidR="000E75AB" w:rsidRPr="00DF3571">
        <w:rPr>
          <w:sz w:val="20"/>
          <w:szCs w:val="20"/>
        </w:rPr>
        <w:t>)</w:t>
      </w:r>
      <w:r w:rsidR="00775F4F" w:rsidRPr="00DF3571">
        <w:rPr>
          <w:sz w:val="20"/>
          <w:szCs w:val="20"/>
        </w:rPr>
        <w:t>.</w:t>
      </w:r>
    </w:p>
    <w:p w:rsidR="00F1209C" w:rsidRPr="001C2DF8" w:rsidRDefault="0021380E" w:rsidP="00F1209C">
      <w:pPr>
        <w:ind w:firstLine="708"/>
        <w:jc w:val="both"/>
      </w:pPr>
      <w:r w:rsidRPr="001C2DF8">
        <w:t xml:space="preserve">Amennyiben </w:t>
      </w:r>
      <w:r w:rsidR="00A60AF9" w:rsidRPr="001C2DF8">
        <w:t>Pack igazat állít, úgy az ipar</w:t>
      </w:r>
      <w:r w:rsidRPr="001C2DF8">
        <w:t>politika nem szerepelhet a kelet-európai kormányok napirendjén. Csakhogy</w:t>
      </w:r>
      <w:r w:rsidR="003D4394" w:rsidRPr="001C2DF8">
        <w:t xml:space="preserve"> </w:t>
      </w:r>
      <w:r w:rsidR="008E0964">
        <w:t xml:space="preserve">figyelmen kívül hagyta </w:t>
      </w:r>
      <w:r w:rsidR="003D4394" w:rsidRPr="001C2DF8">
        <w:t>a kelet-ázsiai országok egy teljes csoportját, a sorból tetszés szerint kiragadott „győztesekre” koncentrál</w:t>
      </w:r>
      <w:r w:rsidR="008E0964">
        <w:t>va</w:t>
      </w:r>
      <w:r w:rsidR="003D4394" w:rsidRPr="001C2DF8">
        <w:t xml:space="preserve">, </w:t>
      </w:r>
      <w:r w:rsidR="008E0964">
        <w:t>ezért</w:t>
      </w:r>
      <w:r w:rsidR="00F150DB">
        <w:t xml:space="preserve"> az</w:t>
      </w:r>
      <w:r w:rsidR="00F1209C" w:rsidRPr="001C2DF8">
        <w:t xml:space="preserve"> így kirajzolódó kép hiányos. </w:t>
      </w:r>
    </w:p>
    <w:p w:rsidR="00A2587E" w:rsidRPr="001C2DF8" w:rsidRDefault="00A2587E" w:rsidP="007B70B2">
      <w:pPr>
        <w:jc w:val="both"/>
        <w:rPr>
          <w:b/>
        </w:rPr>
      </w:pPr>
    </w:p>
    <w:p w:rsidR="0052039F" w:rsidRPr="001C2DF8" w:rsidRDefault="00861128" w:rsidP="007B70B2">
      <w:pPr>
        <w:jc w:val="both"/>
        <w:rPr>
          <w:b/>
        </w:rPr>
      </w:pPr>
      <w:r w:rsidRPr="001C2DF8">
        <w:rPr>
          <w:b/>
        </w:rPr>
        <w:t xml:space="preserve">Miért </w:t>
      </w:r>
      <w:r w:rsidR="003E1CBE" w:rsidRPr="001C2DF8">
        <w:rPr>
          <w:b/>
        </w:rPr>
        <w:t xml:space="preserve">téves </w:t>
      </w:r>
      <w:r w:rsidR="0052039F" w:rsidRPr="001C2DF8">
        <w:rPr>
          <w:b/>
        </w:rPr>
        <w:t xml:space="preserve">a kelet-ázsiai felzárkózás liberális magyarázata?  </w:t>
      </w:r>
    </w:p>
    <w:p w:rsidR="003E5981" w:rsidRPr="001C2DF8" w:rsidRDefault="003E5981" w:rsidP="007B70B2">
      <w:pPr>
        <w:jc w:val="both"/>
        <w:rPr>
          <w:b/>
        </w:rPr>
      </w:pPr>
    </w:p>
    <w:p w:rsidR="0052039F" w:rsidRPr="001C2DF8" w:rsidRDefault="0052039F" w:rsidP="007B70B2">
      <w:pPr>
        <w:ind w:firstLine="708"/>
        <w:jc w:val="both"/>
      </w:pPr>
      <w:r w:rsidRPr="001C2DF8">
        <w:t xml:space="preserve">A kelet-ázsiai </w:t>
      </w:r>
      <w:r w:rsidR="00861128" w:rsidRPr="001C2DF8">
        <w:t xml:space="preserve">fejlődés </w:t>
      </w:r>
      <w:r w:rsidRPr="001C2DF8">
        <w:t>hag</w:t>
      </w:r>
      <w:r w:rsidR="00861128" w:rsidRPr="001C2DF8">
        <w:t>yományos liberális magyarázata,</w:t>
      </w:r>
      <w:r w:rsidRPr="001C2DF8">
        <w:t xml:space="preserve"> ha nem is egészében, </w:t>
      </w:r>
      <w:r w:rsidR="00506C3A">
        <w:t xml:space="preserve">de </w:t>
      </w:r>
      <w:r w:rsidRPr="001C2DF8">
        <w:t>lényegét tekintve</w:t>
      </w:r>
      <w:r w:rsidR="003E1CBE" w:rsidRPr="001C2DF8">
        <w:t xml:space="preserve"> téves</w:t>
      </w:r>
      <w:r w:rsidRPr="001C2DF8">
        <w:t>. Érdemes felidéznünk, hogy a meghatározó gazdasági szakirodalom a felzárkózást jelentős részben a</w:t>
      </w:r>
      <w:r w:rsidR="00506C3A">
        <w:t xml:space="preserve"> folyamatos </w:t>
      </w:r>
      <w:r w:rsidRPr="001C2DF8">
        <w:t xml:space="preserve">piaci liberalizációnak tulajdonítja: elsősorban </w:t>
      </w:r>
      <w:r w:rsidR="00861128" w:rsidRPr="001C2DF8">
        <w:t>a kereskedelmi korlátozások feloldásának</w:t>
      </w:r>
      <w:r w:rsidRPr="001C2DF8">
        <w:t>, valamint</w:t>
      </w:r>
      <w:r w:rsidR="00861128" w:rsidRPr="001C2DF8">
        <w:t xml:space="preserve"> a tőke</w:t>
      </w:r>
      <w:r w:rsidR="00506C3A">
        <w:t xml:space="preserve">mozgás mindkét irányú </w:t>
      </w:r>
      <w:r w:rsidR="00861128" w:rsidRPr="001C2DF8">
        <w:t>liberalizációjának.</w:t>
      </w:r>
      <w:r w:rsidRPr="001C2DF8">
        <w:t xml:space="preserve"> </w:t>
      </w:r>
      <w:r w:rsidR="00861128" w:rsidRPr="001C2DF8">
        <w:t>Ezekhez m</w:t>
      </w:r>
      <w:r w:rsidRPr="001C2DF8">
        <w:t xml:space="preserve">indkét esetben a belgazdaságba való állami </w:t>
      </w:r>
      <w:r w:rsidR="00861128" w:rsidRPr="001C2DF8">
        <w:t>beavatkozás csökkentése és</w:t>
      </w:r>
      <w:r w:rsidRPr="001C2DF8">
        <w:t xml:space="preserve"> az állami tulajdonú vállalkozások </w:t>
      </w:r>
      <w:r w:rsidR="003E1CBE" w:rsidRPr="001C2DF8">
        <w:t xml:space="preserve">következetes </w:t>
      </w:r>
      <w:r w:rsidRPr="001C2DF8">
        <w:t xml:space="preserve">liberalizációja és privatizációja </w:t>
      </w:r>
      <w:r w:rsidRPr="001C2DF8">
        <w:lastRenderedPageBreak/>
        <w:t xml:space="preserve">társul. </w:t>
      </w:r>
      <w:r w:rsidR="008B21FA" w:rsidRPr="001C2DF8">
        <w:t>A f</w:t>
      </w:r>
      <w:r w:rsidR="00506C3A">
        <w:t xml:space="preserve">ő cél, hogy az állam feladja </w:t>
      </w:r>
      <w:r w:rsidR="00861128" w:rsidRPr="00F150DB">
        <w:t>„import</w:t>
      </w:r>
      <w:r w:rsidR="00506C3A" w:rsidRPr="00F150DB">
        <w:t>-helyettesítő</w:t>
      </w:r>
      <w:r w:rsidR="00861128" w:rsidRPr="00F150DB">
        <w:t xml:space="preserve"> iparosítás</w:t>
      </w:r>
      <w:r w:rsidRPr="00F150DB">
        <w:t>”</w:t>
      </w:r>
      <w:r w:rsidRPr="001C2DF8">
        <w:t xml:space="preserve"> </w:t>
      </w:r>
      <w:r w:rsidR="00506C3A">
        <w:t>politikáját</w:t>
      </w:r>
      <w:r w:rsidRPr="001C2DF8">
        <w:t xml:space="preserve">, </w:t>
      </w:r>
      <w:r w:rsidR="00506C3A">
        <w:t>mellyel a</w:t>
      </w:r>
      <w:r w:rsidRPr="001C2DF8">
        <w:t xml:space="preserve"> gazdaság</w:t>
      </w:r>
      <w:r w:rsidR="00C909DF">
        <w:t xml:space="preserve"> szerkezetét próbálta meg átalakítani</w:t>
      </w:r>
      <w:r w:rsidRPr="001C2DF8">
        <w:t>.</w:t>
      </w:r>
    </w:p>
    <w:p w:rsidR="003A5AEB" w:rsidRPr="001C2DF8" w:rsidRDefault="0052039F" w:rsidP="007B70B2">
      <w:pPr>
        <w:ind w:firstLine="708"/>
        <w:jc w:val="both"/>
      </w:pPr>
      <w:r w:rsidRPr="001C2DF8">
        <w:t>A hagyományos liberális felfogás a keresked</w:t>
      </w:r>
      <w:r w:rsidR="008B21FA" w:rsidRPr="001C2DF8">
        <w:t xml:space="preserve">elem </w:t>
      </w:r>
      <w:r w:rsidR="00565406">
        <w:t>előtt álló akadályok lebontásának</w:t>
      </w:r>
      <w:r w:rsidR="008B21FA" w:rsidRPr="001C2DF8">
        <w:t xml:space="preserve"> központi jelentőséget tulajdonít, </w:t>
      </w:r>
      <w:r w:rsidR="008077DD" w:rsidRPr="001C2DF8">
        <w:t xml:space="preserve">az </w:t>
      </w:r>
      <w:r w:rsidRPr="001C2DF8">
        <w:t xml:space="preserve">export </w:t>
      </w:r>
      <w:r w:rsidR="00565406">
        <w:t>dinamikus bővülésének</w:t>
      </w:r>
      <w:r w:rsidR="008B21FA" w:rsidRPr="001C2DF8">
        <w:t xml:space="preserve"> </w:t>
      </w:r>
      <w:r w:rsidR="00565406">
        <w:t>feltételeként</w:t>
      </w:r>
      <w:r w:rsidR="008B21FA" w:rsidRPr="001C2DF8">
        <w:t xml:space="preserve">. </w:t>
      </w:r>
      <w:r w:rsidRPr="001C2DF8">
        <w:t>A Világbank egy</w:t>
      </w:r>
      <w:r w:rsidR="008B21FA" w:rsidRPr="001C2DF8">
        <w:t>ik</w:t>
      </w:r>
      <w:r w:rsidRPr="001C2DF8">
        <w:t xml:space="preserve"> </w:t>
      </w:r>
      <w:r w:rsidR="003A5AEB" w:rsidRPr="001C2DF8">
        <w:t xml:space="preserve">meghatározó </w:t>
      </w:r>
      <w:r w:rsidR="008B21FA" w:rsidRPr="001C2DF8">
        <w:t xml:space="preserve">tanulmánya </w:t>
      </w:r>
      <w:r w:rsidRPr="001C2DF8">
        <w:t xml:space="preserve">szerint </w:t>
      </w:r>
      <w:r w:rsidR="00565406">
        <w:t>a</w:t>
      </w:r>
      <w:r w:rsidR="008B21FA" w:rsidRPr="001C2DF8">
        <w:t xml:space="preserve"> kereskedelmében „kifelé orientálódó” ország</w:t>
      </w:r>
      <w:r w:rsidR="00565406">
        <w:t>ok</w:t>
      </w:r>
      <w:r w:rsidR="008B21FA" w:rsidRPr="001C2DF8">
        <w:t xml:space="preserve"> </w:t>
      </w:r>
      <w:r w:rsidR="00565406">
        <w:t>számos</w:t>
      </w:r>
      <w:r w:rsidR="00565406" w:rsidRPr="001C2DF8">
        <w:t xml:space="preserve"> </w:t>
      </w:r>
      <w:r w:rsidR="008B21FA" w:rsidRPr="001C2DF8">
        <w:t>mutató</w:t>
      </w:r>
      <w:r w:rsidR="00565406">
        <w:t xml:space="preserve"> tekintetében megelőzik a</w:t>
      </w:r>
      <w:r w:rsidR="008077DD" w:rsidRPr="001C2DF8">
        <w:t xml:space="preserve"> „befelé orientál</w:t>
      </w:r>
      <w:r w:rsidR="00565406">
        <w:t>t</w:t>
      </w:r>
      <w:r w:rsidR="008B21FA" w:rsidRPr="001C2DF8">
        <w:t>”</w:t>
      </w:r>
      <w:r w:rsidR="00565406">
        <w:t xml:space="preserve"> kereskedelmi rezsimmel rendelkező országokat</w:t>
      </w:r>
      <w:r w:rsidR="000E75AB">
        <w:t xml:space="preserve"> </w:t>
      </w:r>
      <w:r w:rsidR="000E75AB" w:rsidRPr="000E75AB">
        <w:t>(World Bank, 1987)</w:t>
      </w:r>
      <w:r w:rsidR="003A5AEB" w:rsidRPr="001C2DF8">
        <w:t>.</w:t>
      </w:r>
      <w:r w:rsidR="003E1CBE" w:rsidRPr="001C2DF8">
        <w:t xml:space="preserve"> </w:t>
      </w:r>
      <w:r w:rsidR="003A5AEB" w:rsidRPr="001C2DF8">
        <w:t>A Világbank arra</w:t>
      </w:r>
      <w:r w:rsidR="00F1209C" w:rsidRPr="001C2DF8">
        <w:t xml:space="preserve"> a</w:t>
      </w:r>
      <w:r w:rsidR="003A5AEB" w:rsidRPr="001C2DF8">
        <w:t xml:space="preserve"> </w:t>
      </w:r>
      <w:r w:rsidR="008077DD" w:rsidRPr="001C2DF8">
        <w:t>következtetésre jutott</w:t>
      </w:r>
      <w:r w:rsidR="003A5AEB" w:rsidRPr="001C2DF8">
        <w:t xml:space="preserve">, hogy a </w:t>
      </w:r>
      <w:r w:rsidRPr="001C2DF8">
        <w:t xml:space="preserve">kereskedelmi rendszer </w:t>
      </w:r>
      <w:r w:rsidR="00565406">
        <w:t>az ok, melynek következménye a</w:t>
      </w:r>
      <w:r w:rsidRPr="001C2DF8">
        <w:t xml:space="preserve"> gazdasági teljesítmény</w:t>
      </w:r>
      <w:r w:rsidR="008077DD" w:rsidRPr="001C2DF8">
        <w:t>.</w:t>
      </w:r>
      <w:r w:rsidRPr="001C2DF8">
        <w:t xml:space="preserve"> </w:t>
      </w:r>
      <w:r w:rsidR="00565406">
        <w:t>A Világbank szerint a</w:t>
      </w:r>
      <w:r w:rsidRPr="001C2DF8">
        <w:t xml:space="preserve"> kifelé orientálódás és a magasabb teljesítmény között</w:t>
      </w:r>
      <w:r w:rsidR="008077DD" w:rsidRPr="001C2DF8">
        <w:t>i korreláció</w:t>
      </w:r>
      <w:r w:rsidRPr="001C2DF8">
        <w:t xml:space="preserve"> nem csupán az országok</w:t>
      </w:r>
      <w:r w:rsidR="005477EC">
        <w:t>at</w:t>
      </w:r>
      <w:r w:rsidRPr="001C2DF8">
        <w:t xml:space="preserve"> össze</w:t>
      </w:r>
      <w:r w:rsidR="005477EC">
        <w:t>vetve áll fenn</w:t>
      </w:r>
      <w:r w:rsidRPr="001C2DF8">
        <w:t xml:space="preserve">, hanem </w:t>
      </w:r>
      <w:r w:rsidR="005477EC">
        <w:t>egy országon belül időben is</w:t>
      </w:r>
      <w:r w:rsidRPr="001C2DF8">
        <w:t>:</w:t>
      </w:r>
      <w:r w:rsidR="003A5AEB" w:rsidRPr="001C2DF8">
        <w:t xml:space="preserve"> a keresztmetszeti vizsgálatok adatai</w:t>
      </w:r>
      <w:r w:rsidRPr="001C2DF8">
        <w:t xml:space="preserve"> </w:t>
      </w:r>
      <w:r w:rsidR="003A5AEB" w:rsidRPr="001C2DF8">
        <w:t xml:space="preserve">abban erősítenek meg bennünket, hogy </w:t>
      </w:r>
      <w:r w:rsidRPr="001C2DF8">
        <w:t xml:space="preserve">az egyes országok </w:t>
      </w:r>
      <w:r w:rsidR="003A5AEB" w:rsidRPr="001C2DF8">
        <w:t xml:space="preserve">a kereskedelmi liberalizációt követően jobb gazdasági teljesítményt nyújtanak. </w:t>
      </w:r>
      <w:r w:rsidR="005477EC">
        <w:t>Ez az érvelés tele van hibákkal, melyet n</w:t>
      </w:r>
      <w:r w:rsidR="007739C8" w:rsidRPr="001C2DF8">
        <w:t>éhán</w:t>
      </w:r>
      <w:r w:rsidR="00E167A0" w:rsidRPr="001C2DF8">
        <w:t>y példával tudo</w:t>
      </w:r>
      <w:r w:rsidR="005477EC">
        <w:t>k</w:t>
      </w:r>
      <w:r w:rsidR="00E167A0" w:rsidRPr="001C2DF8">
        <w:t xml:space="preserve"> </w:t>
      </w:r>
      <w:r w:rsidR="005477EC">
        <w:t>most szemléltetni</w:t>
      </w:r>
      <w:r w:rsidR="007739C8" w:rsidRPr="001C2DF8">
        <w:t>.</w:t>
      </w:r>
    </w:p>
    <w:p w:rsidR="008077DD" w:rsidRPr="001C2DF8" w:rsidRDefault="008077DD" w:rsidP="007B70B2">
      <w:pPr>
        <w:ind w:firstLine="708"/>
        <w:jc w:val="both"/>
      </w:pPr>
      <w:r w:rsidRPr="001C2DF8">
        <w:t xml:space="preserve">Először is, a Világbank tanulmányának azon következtetése, amely </w:t>
      </w:r>
      <w:r w:rsidR="00E0071C" w:rsidRPr="001C2DF8">
        <w:t>szerint a kifelé orientálódó</w:t>
      </w:r>
      <w:r w:rsidRPr="001C2DF8">
        <w:t xml:space="preserve"> országok jobb teljesítményt nyújtanak, mint a befelé orientálódók egy ellentmondásos </w:t>
      </w:r>
      <w:r w:rsidR="005477EC">
        <w:t>eredményt</w:t>
      </w:r>
      <w:r w:rsidR="005477EC" w:rsidRPr="001C2DF8">
        <w:t xml:space="preserve"> </w:t>
      </w:r>
      <w:r w:rsidR="00E167A0" w:rsidRPr="001C2DF8">
        <w:t>takar.</w:t>
      </w:r>
      <w:r w:rsidRPr="001C2DF8">
        <w:t xml:space="preserve"> A tanulmány</w:t>
      </w:r>
      <w:r w:rsidR="00E0071C" w:rsidRPr="001C2DF8">
        <w:t>ban</w:t>
      </w:r>
      <w:r w:rsidRPr="001C2DF8">
        <w:t xml:space="preserve"> az 1963 és 1973</w:t>
      </w:r>
      <w:r w:rsidR="007739C8" w:rsidRPr="001C2DF8">
        <w:t>,</w:t>
      </w:r>
      <w:r w:rsidRPr="001C2DF8">
        <w:t xml:space="preserve"> valamint az 1973 és 1985 közötti két időszako</w:t>
      </w:r>
      <w:r w:rsidR="00E0071C" w:rsidRPr="001C2DF8">
        <w:t>t vizsgálták</w:t>
      </w:r>
      <w:r w:rsidRPr="001C2DF8">
        <w:t xml:space="preserve">, s mindkét esetben </w:t>
      </w:r>
      <w:r w:rsidR="00E0071C" w:rsidRPr="001C2DF8">
        <w:t>41 fejlődő országot osztályoztak</w:t>
      </w:r>
      <w:r w:rsidR="007D7D38" w:rsidRPr="001C2DF8">
        <w:t>. Kereskedelmi irányultságuk alapján négy kategóriát különítettek el:</w:t>
      </w:r>
      <w:r w:rsidRPr="001C2DF8">
        <w:t xml:space="preserve"> erősen kifelé orientálódó és mérsékelten kifelé orientálódó</w:t>
      </w:r>
      <w:r w:rsidR="007739C8" w:rsidRPr="001C2DF8">
        <w:t>,</w:t>
      </w:r>
      <w:r w:rsidRPr="001C2DF8">
        <w:t xml:space="preserve"> valamint erősen befelé orientálódó és mérsékelten befelé orientálódó államok között tett</w:t>
      </w:r>
      <w:r w:rsidR="00E0071C" w:rsidRPr="001C2DF8">
        <w:t>ek</w:t>
      </w:r>
      <w:r w:rsidRPr="001C2DF8">
        <w:t xml:space="preserve"> különbséget. </w:t>
      </w:r>
      <w:r w:rsidR="00E0071C" w:rsidRPr="001C2DF8">
        <w:t>Csakhogy a</w:t>
      </w:r>
      <w:r w:rsidRPr="001C2DF8">
        <w:t xml:space="preserve"> mérsékelten </w:t>
      </w:r>
      <w:r w:rsidRPr="001C2DF8">
        <w:rPr>
          <w:i/>
        </w:rPr>
        <w:t xml:space="preserve">befelé </w:t>
      </w:r>
      <w:r w:rsidR="00E0071C" w:rsidRPr="001C2DF8">
        <w:t xml:space="preserve">orientálódó országok a legtöbb mérés alkalmával </w:t>
      </w:r>
      <w:r w:rsidRPr="001C2DF8">
        <w:t>jobb</w:t>
      </w:r>
      <w:r w:rsidR="00E0071C" w:rsidRPr="001C2DF8">
        <w:t>an</w:t>
      </w:r>
      <w:r w:rsidRPr="001C2DF8">
        <w:t xml:space="preserve"> </w:t>
      </w:r>
      <w:r w:rsidR="00E0071C" w:rsidRPr="001C2DF8">
        <w:t xml:space="preserve">szerepeltek, </w:t>
      </w:r>
      <w:r w:rsidRPr="001C2DF8">
        <w:t xml:space="preserve">mint a mérsékelten </w:t>
      </w:r>
      <w:r w:rsidRPr="001C2DF8">
        <w:rPr>
          <w:i/>
        </w:rPr>
        <w:t xml:space="preserve">kifelé </w:t>
      </w:r>
      <w:r w:rsidRPr="001C2DF8">
        <w:t>orientálódók.</w:t>
      </w:r>
      <w:r w:rsidR="00E0071C" w:rsidRPr="001C2DF8">
        <w:t xml:space="preserve"> Így az eredmény, amelyet a Világbank diadalmasan felmutat – </w:t>
      </w:r>
      <w:r w:rsidR="007739C8" w:rsidRPr="001C2DF8">
        <w:t xml:space="preserve">hogy, </w:t>
      </w:r>
      <w:r w:rsidR="00E0071C" w:rsidRPr="001C2DF8">
        <w:t>a kifelé orientálódó kereskedelmi rendszerek jobb teljesítményt nyújtanak, mint a befelé orientálódók – csupán a két szélső osztályra alapoz.  Az „erősen kifelé orientálódó” esetekben igen</w:t>
      </w:r>
      <w:r w:rsidRPr="001C2DF8">
        <w:t xml:space="preserve"> magasak a teljesítménymutatók, </w:t>
      </w:r>
      <w:r w:rsidR="00E0071C" w:rsidRPr="001C2DF8">
        <w:t>az „erősen befelé orientálódók</w:t>
      </w:r>
      <w:r w:rsidRPr="001C2DF8">
        <w:t>” esetében</w:t>
      </w:r>
      <w:r w:rsidR="00871DA7" w:rsidRPr="001C2DF8">
        <w:t xml:space="preserve"> pedig</w:t>
      </w:r>
      <w:r w:rsidRPr="001C2DF8">
        <w:t xml:space="preserve"> </w:t>
      </w:r>
      <w:r w:rsidR="00E0071C" w:rsidRPr="001C2DF8">
        <w:t xml:space="preserve">igen </w:t>
      </w:r>
      <w:r w:rsidRPr="001C2DF8">
        <w:t xml:space="preserve">alacsonyak, </w:t>
      </w:r>
      <w:r w:rsidR="00E0071C" w:rsidRPr="001C2DF8">
        <w:t xml:space="preserve">ám </w:t>
      </w:r>
      <w:r w:rsidRPr="001C2DF8">
        <w:t xml:space="preserve">a „mérsékelt” esetekben ez </w:t>
      </w:r>
      <w:r w:rsidR="00E0071C" w:rsidRPr="001C2DF8">
        <w:t xml:space="preserve">éppen </w:t>
      </w:r>
      <w:r w:rsidRPr="001C2DF8">
        <w:t xml:space="preserve">ellentétesen alakul.    </w:t>
      </w:r>
    </w:p>
    <w:p w:rsidR="00FE5D72" w:rsidRPr="001C2DF8" w:rsidRDefault="008077DD" w:rsidP="007B70B2">
      <w:pPr>
        <w:ind w:firstLine="708"/>
        <w:jc w:val="both"/>
      </w:pPr>
      <w:r w:rsidRPr="001C2DF8">
        <w:t>Másodszor, a</w:t>
      </w:r>
      <w:r w:rsidR="00E0071C" w:rsidRPr="001C2DF8">
        <w:t xml:space="preserve">z „erősen kifelé orientálódó” </w:t>
      </w:r>
      <w:r w:rsidRPr="001C2DF8">
        <w:t>kategória csupán</w:t>
      </w:r>
      <w:r w:rsidR="00FE5D72" w:rsidRPr="001C2DF8">
        <w:t xml:space="preserve"> három ország,</w:t>
      </w:r>
      <w:r w:rsidRPr="001C2DF8">
        <w:t xml:space="preserve"> </w:t>
      </w:r>
      <w:r w:rsidR="00E0071C" w:rsidRPr="001C2DF8">
        <w:t>Hong Kong, Szingapúr</w:t>
      </w:r>
      <w:r w:rsidR="00FE5D72" w:rsidRPr="001C2DF8">
        <w:t xml:space="preserve"> és Dél-Korea esetére szorítkozik. Ezek mindegyike </w:t>
      </w:r>
      <w:r w:rsidRPr="001C2DF8">
        <w:t xml:space="preserve">kelet-ázsiai ország, </w:t>
      </w:r>
      <w:r w:rsidR="00FE5D72" w:rsidRPr="001C2DF8">
        <w:t xml:space="preserve">s nem elképzelhetetlen, </w:t>
      </w:r>
      <w:r w:rsidRPr="001C2DF8">
        <w:t xml:space="preserve">hogy </w:t>
      </w:r>
      <w:r w:rsidR="00FE5D72" w:rsidRPr="001C2DF8">
        <w:t xml:space="preserve">kimagasló teljesítményükben e tény nagyobb szerepet játszik, mint a liberális kereskedelem maga. Ráadásul a legmagasabb teljesítmény Koreáé, </w:t>
      </w:r>
      <w:r w:rsidR="005477EC">
        <w:t>messze maga mögött hagyva a másik két országot</w:t>
      </w:r>
      <w:r w:rsidR="00FE5D72" w:rsidRPr="001C2DF8">
        <w:t xml:space="preserve">. Korea </w:t>
      </w:r>
      <w:r w:rsidR="005477EC">
        <w:t>nélkül</w:t>
      </w:r>
      <w:r w:rsidR="005477EC" w:rsidRPr="001C2DF8">
        <w:t xml:space="preserve"> </w:t>
      </w:r>
      <w:r w:rsidR="00A60AF9" w:rsidRPr="001C2DF8">
        <w:t xml:space="preserve">az </w:t>
      </w:r>
      <w:r w:rsidR="00FE5D72" w:rsidRPr="001C2DF8">
        <w:t>az általános következtetés, mely szerint a kifelé orientálódó országok gazdasági teljesítménye jobb, mint a befelé orientálódóké</w:t>
      </w:r>
      <w:r w:rsidR="005477EC">
        <w:t>,</w:t>
      </w:r>
      <w:r w:rsidR="005477EC" w:rsidRPr="005477EC">
        <w:t xml:space="preserve"> </w:t>
      </w:r>
      <w:r w:rsidR="005477EC" w:rsidRPr="001C2DF8">
        <w:t>érvényét veszti</w:t>
      </w:r>
      <w:r w:rsidR="00FE5D72" w:rsidRPr="001C2DF8">
        <w:t xml:space="preserve">. </w:t>
      </w:r>
    </w:p>
    <w:p w:rsidR="00E0071C" w:rsidRPr="001C2DF8" w:rsidRDefault="00E0071C" w:rsidP="007B70B2">
      <w:pPr>
        <w:ind w:firstLine="708"/>
        <w:jc w:val="both"/>
      </w:pPr>
    </w:p>
    <w:p w:rsidR="008077DD" w:rsidRPr="001C2DF8" w:rsidRDefault="005477EC" w:rsidP="0098356D">
      <w:pPr>
        <w:autoSpaceDE w:val="0"/>
        <w:autoSpaceDN w:val="0"/>
        <w:adjustRightInd w:val="0"/>
      </w:pPr>
      <w:r>
        <w:t xml:space="preserve">1. </w:t>
      </w:r>
      <w:r w:rsidR="00871DA7" w:rsidRPr="001C2DF8">
        <w:t>TÁBLÁZAT</w:t>
      </w:r>
    </w:p>
    <w:p w:rsidR="00871DA7" w:rsidRPr="001C2DF8" w:rsidRDefault="00871DA7" w:rsidP="007B70B2">
      <w:pPr>
        <w:autoSpaceDE w:val="0"/>
        <w:autoSpaceDN w:val="0"/>
        <w:adjustRightInd w:val="0"/>
        <w:jc w:val="center"/>
      </w:pPr>
    </w:p>
    <w:p w:rsidR="008077DD" w:rsidRPr="001C2DF8" w:rsidRDefault="008077DD" w:rsidP="007B70B2">
      <w:pPr>
        <w:autoSpaceDE w:val="0"/>
        <w:autoSpaceDN w:val="0"/>
        <w:adjustRightInd w:val="0"/>
        <w:jc w:val="both"/>
      </w:pPr>
      <w:r w:rsidRPr="001C2DF8">
        <w:t xml:space="preserve">Kereskedelmi rendszerek, a </w:t>
      </w:r>
      <w:r w:rsidR="0098356D" w:rsidRPr="001C2DF8">
        <w:t>belföld</w:t>
      </w:r>
      <w:r w:rsidR="0098356D">
        <w:t>re</w:t>
      </w:r>
      <w:r w:rsidR="0098356D" w:rsidRPr="001C2DF8">
        <w:t xml:space="preserve"> </w:t>
      </w:r>
      <w:r w:rsidR="00871DA7" w:rsidRPr="001C2DF8">
        <w:t xml:space="preserve">vagy a </w:t>
      </w:r>
      <w:r w:rsidR="0098356D" w:rsidRPr="001C2DF8">
        <w:t>külföld</w:t>
      </w:r>
      <w:r w:rsidR="0098356D">
        <w:t>re</w:t>
      </w:r>
      <w:r w:rsidR="0098356D" w:rsidRPr="001C2DF8">
        <w:t xml:space="preserve"> </w:t>
      </w:r>
      <w:r w:rsidR="0098356D">
        <w:t>értékesítés</w:t>
      </w:r>
      <w:r w:rsidR="00871DA7" w:rsidRPr="001C2DF8">
        <w:t xml:space="preserve"> ösztönzése,</w:t>
      </w:r>
      <w:r w:rsidRPr="001C2DF8">
        <w:t xml:space="preserve"> fejlődő országok 1969 körül (százalékban)</w:t>
      </w:r>
    </w:p>
    <w:p w:rsidR="00871DA7" w:rsidRPr="001C2DF8" w:rsidRDefault="00871DA7" w:rsidP="007B70B2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36"/>
        <w:gridCol w:w="1842"/>
        <w:gridCol w:w="1843"/>
        <w:gridCol w:w="1843"/>
      </w:tblGrid>
      <w:tr w:rsidR="008077DD" w:rsidRPr="001C2DF8" w:rsidTr="0098356D">
        <w:trPr>
          <w:jc w:val="center"/>
        </w:trPr>
        <w:tc>
          <w:tcPr>
            <w:tcW w:w="2448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 xml:space="preserve">Tajvan </w:t>
            </w:r>
          </w:p>
        </w:tc>
        <w:tc>
          <w:tcPr>
            <w:tcW w:w="1842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 xml:space="preserve">Korea </w:t>
            </w:r>
          </w:p>
        </w:tc>
        <w:tc>
          <w:tcPr>
            <w:tcW w:w="1843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>Kolumbia</w:t>
            </w:r>
          </w:p>
        </w:tc>
        <w:tc>
          <w:tcPr>
            <w:tcW w:w="1843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 xml:space="preserve">Argentína </w:t>
            </w:r>
          </w:p>
        </w:tc>
      </w:tr>
      <w:tr w:rsidR="008077DD" w:rsidRPr="001C2DF8" w:rsidTr="0098356D">
        <w:trPr>
          <w:jc w:val="center"/>
        </w:trPr>
        <w:tc>
          <w:tcPr>
            <w:tcW w:w="2448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 xml:space="preserve">Az előállított javak </w:t>
            </w:r>
            <w:r w:rsidR="0098356D">
              <w:t>effektív</w:t>
            </w:r>
            <w:r w:rsidR="0098356D" w:rsidRPr="001C2DF8">
              <w:t xml:space="preserve"> </w:t>
            </w:r>
            <w:r w:rsidRPr="001C2DF8">
              <w:t xml:space="preserve">védelme </w:t>
            </w:r>
          </w:p>
          <w:p w:rsidR="00A60AF9" w:rsidRPr="001C2DF8" w:rsidRDefault="0098356D" w:rsidP="00457FAC">
            <w:pPr>
              <w:autoSpaceDE w:val="0"/>
              <w:autoSpaceDN w:val="0"/>
              <w:adjustRightInd w:val="0"/>
            </w:pPr>
            <w:r>
              <w:t>Ágazatok közti</w:t>
            </w:r>
            <w:r w:rsidR="008077DD" w:rsidRPr="001C2DF8">
              <w:t xml:space="preserve"> eloszlás </w:t>
            </w:r>
          </w:p>
        </w:tc>
        <w:tc>
          <w:tcPr>
            <w:tcW w:w="1236" w:type="dxa"/>
          </w:tcPr>
          <w:p w:rsidR="008077DD" w:rsidRPr="001C2DF8" w:rsidRDefault="008077DD" w:rsidP="0098356D">
            <w:pPr>
              <w:autoSpaceDE w:val="0"/>
              <w:autoSpaceDN w:val="0"/>
              <w:adjustRightInd w:val="0"/>
            </w:pPr>
            <w:r w:rsidRPr="001C2DF8">
              <w:t>14</w:t>
            </w: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>23</w:t>
            </w: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>13</w:t>
            </w: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>47</w:t>
            </w:r>
          </w:p>
        </w:tc>
        <w:tc>
          <w:tcPr>
            <w:tcW w:w="1843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>35</w:t>
            </w: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>56</w:t>
            </w:r>
          </w:p>
        </w:tc>
        <w:tc>
          <w:tcPr>
            <w:tcW w:w="1843" w:type="dxa"/>
          </w:tcPr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>112</w:t>
            </w: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</w:p>
          <w:p w:rsidR="008077DD" w:rsidRPr="001C2DF8" w:rsidRDefault="008077DD" w:rsidP="00457FAC">
            <w:pPr>
              <w:autoSpaceDE w:val="0"/>
              <w:autoSpaceDN w:val="0"/>
              <w:adjustRightInd w:val="0"/>
            </w:pPr>
            <w:r w:rsidRPr="001C2DF8">
              <w:t>35</w:t>
            </w:r>
          </w:p>
        </w:tc>
      </w:tr>
    </w:tbl>
    <w:p w:rsidR="008077DD" w:rsidRPr="001C2DF8" w:rsidRDefault="008077DD" w:rsidP="007B70B2">
      <w:pPr>
        <w:autoSpaceDE w:val="0"/>
        <w:autoSpaceDN w:val="0"/>
        <w:adjustRightInd w:val="0"/>
      </w:pPr>
      <w:r w:rsidRPr="001C2DF8">
        <w:t xml:space="preserve"> </w:t>
      </w:r>
    </w:p>
    <w:p w:rsidR="008077DD" w:rsidRPr="001C2DF8" w:rsidRDefault="00A60AF9" w:rsidP="007B70B2">
      <w:pPr>
        <w:autoSpaceDE w:val="0"/>
        <w:autoSpaceDN w:val="0"/>
        <w:adjustRightInd w:val="0"/>
        <w:jc w:val="both"/>
      </w:pPr>
      <w:r w:rsidRPr="001C2DF8">
        <w:t xml:space="preserve">Forrás: Robert H. Wade. </w:t>
      </w:r>
      <w:r w:rsidRPr="001C2DF8">
        <w:rPr>
          <w:i/>
          <w:iCs/>
        </w:rPr>
        <w:t>Governing the Market.</w:t>
      </w:r>
      <w:r w:rsidR="008077DD" w:rsidRPr="001C2DF8">
        <w:rPr>
          <w:i/>
          <w:iCs/>
        </w:rPr>
        <w:t xml:space="preserve">. </w:t>
      </w:r>
      <w:r w:rsidR="008077DD" w:rsidRPr="001C2DF8">
        <w:t>3.2</w:t>
      </w:r>
      <w:r w:rsidRPr="001C2DF8">
        <w:t xml:space="preserve"> táblázat, 56. oldal.</w:t>
      </w:r>
      <w:r w:rsidR="00871DA7" w:rsidRPr="001C2DF8">
        <w:t xml:space="preserve"> </w:t>
      </w:r>
      <w:r w:rsidR="008077DD" w:rsidRPr="001C2DF8">
        <w:t xml:space="preserve">Balassa </w:t>
      </w:r>
      <w:r w:rsidRPr="001C2DF8">
        <w:t>(</w:t>
      </w:r>
      <w:r w:rsidR="008077DD" w:rsidRPr="001C2DF8">
        <w:t>1982</w:t>
      </w:r>
      <w:r w:rsidRPr="001C2DF8">
        <w:t>)</w:t>
      </w:r>
      <w:r w:rsidR="008077DD" w:rsidRPr="001C2DF8">
        <w:t xml:space="preserve"> alapján.</w:t>
      </w:r>
    </w:p>
    <w:p w:rsidR="008077DD" w:rsidRPr="001C2DF8" w:rsidRDefault="008077DD" w:rsidP="007B70B2">
      <w:pPr>
        <w:autoSpaceDE w:val="0"/>
        <w:autoSpaceDN w:val="0"/>
        <w:adjustRightInd w:val="0"/>
        <w:jc w:val="both"/>
      </w:pPr>
    </w:p>
    <w:p w:rsidR="008077DD" w:rsidRPr="001C2DF8" w:rsidRDefault="008077DD" w:rsidP="007B70B2">
      <w:pPr>
        <w:jc w:val="both"/>
      </w:pPr>
    </w:p>
    <w:p w:rsidR="008077DD" w:rsidRPr="001C2DF8" w:rsidRDefault="008077DD" w:rsidP="007B70B2">
      <w:pPr>
        <w:autoSpaceDE w:val="0"/>
        <w:autoSpaceDN w:val="0"/>
        <w:adjustRightInd w:val="0"/>
        <w:ind w:firstLine="709"/>
        <w:jc w:val="both"/>
      </w:pPr>
      <w:r w:rsidRPr="001C2DF8">
        <w:lastRenderedPageBreak/>
        <w:t>Harmadszor, Korea 1963 és 1973</w:t>
      </w:r>
      <w:r w:rsidR="007739C8" w:rsidRPr="001C2DF8">
        <w:t>,</w:t>
      </w:r>
      <w:r w:rsidRPr="001C2DF8">
        <w:t xml:space="preserve"> valamint 1973 és 1985 közötti kereskedelmi rendszeré</w:t>
      </w:r>
      <w:r w:rsidR="0098356D">
        <w:t>t</w:t>
      </w:r>
      <w:r w:rsidRPr="001C2DF8">
        <w:t xml:space="preserve"> </w:t>
      </w:r>
      <w:r w:rsidR="00871DA7" w:rsidRPr="001C2DF8">
        <w:t>„erős</w:t>
      </w:r>
      <w:r w:rsidR="0098356D">
        <w:t>en</w:t>
      </w:r>
      <w:r w:rsidRPr="001C2DF8">
        <w:t xml:space="preserve"> kifelé orientál</w:t>
      </w:r>
      <w:r w:rsidR="0098356D">
        <w:t>tként</w:t>
      </w:r>
      <w:r w:rsidRPr="001C2DF8">
        <w:t>” jellem</w:t>
      </w:r>
      <w:r w:rsidR="0098356D">
        <w:t>ezni</w:t>
      </w:r>
      <w:r w:rsidRPr="001C2DF8">
        <w:t xml:space="preserve"> </w:t>
      </w:r>
      <w:r w:rsidR="007739C8" w:rsidRPr="001C2DF8">
        <w:t xml:space="preserve">vaskos </w:t>
      </w:r>
      <w:r w:rsidR="00871DA7" w:rsidRPr="001C2DF8">
        <w:t>túlzás, tekintve, hogy e kategóri</w:t>
      </w:r>
      <w:r w:rsidR="0098356D">
        <w:t>ába definíció szerint azon országok tartoznak, ahol</w:t>
      </w:r>
      <w:r w:rsidR="00871DA7" w:rsidRPr="001C2DF8">
        <w:t xml:space="preserve"> „</w:t>
      </w:r>
      <w:r w:rsidR="0098356D">
        <w:t xml:space="preserve">a kereskedelem szinte teljes egészében szabad, nem </w:t>
      </w:r>
      <w:r w:rsidR="006C5379">
        <w:t>alkalmaznak</w:t>
      </w:r>
      <w:r w:rsidR="0098356D">
        <w:t xml:space="preserve"> közvetlen keres</w:t>
      </w:r>
      <w:r w:rsidR="006C5379">
        <w:t>kedelemkorlátozó intézkedéseket</w:t>
      </w:r>
      <w:r w:rsidR="0098356D">
        <w:t xml:space="preserve"> vagy licenszszabályokat”</w:t>
      </w:r>
      <w:r w:rsidR="00871DA7" w:rsidRPr="001C2DF8">
        <w:t xml:space="preserve">. </w:t>
      </w:r>
      <w:r w:rsidR="00CB71A1" w:rsidRPr="001C2DF8">
        <w:t>A „mérsékelten kifelé orientálódó rendszerek”</w:t>
      </w:r>
      <w:r w:rsidR="00871DA7" w:rsidRPr="001C2DF8">
        <w:t xml:space="preserve"> </w:t>
      </w:r>
      <w:r w:rsidR="00CB71A1" w:rsidRPr="001C2DF8">
        <w:t xml:space="preserve">kategóriáját a tanulmány </w:t>
      </w:r>
      <w:r w:rsidR="006C5379">
        <w:t>egy újabb feltételhez köti</w:t>
      </w:r>
      <w:r w:rsidR="00CB71A1" w:rsidRPr="001C2DF8">
        <w:t xml:space="preserve">, </w:t>
      </w:r>
      <w:r w:rsidR="006C5379">
        <w:t>a gazdaság effektív védelme nem mutathan nagy eltéréseket ágazatonként</w:t>
      </w:r>
      <w:r w:rsidRPr="001C2DF8">
        <w:rPr>
          <w:b/>
        </w:rPr>
        <w:t xml:space="preserve">. </w:t>
      </w:r>
      <w:r w:rsidRPr="001C2DF8">
        <w:t>Joggal feltételezhetjük, hogy ez a feltétel az erősen kifelé orientálódó rendszerekre is</w:t>
      </w:r>
      <w:r w:rsidR="007739C8" w:rsidRPr="001C2DF8">
        <w:t xml:space="preserve"> vonatkozik</w:t>
      </w:r>
      <w:r w:rsidRPr="001C2DF8">
        <w:t>. Számtalan</w:t>
      </w:r>
      <w:r w:rsidR="00CB71A1" w:rsidRPr="001C2DF8">
        <w:t xml:space="preserve"> módon bizonyítható</w:t>
      </w:r>
      <w:r w:rsidRPr="001C2DF8">
        <w:t xml:space="preserve">, hogy Korea egyik </w:t>
      </w:r>
      <w:r w:rsidR="00CB71A1" w:rsidRPr="001C2DF8">
        <w:t xml:space="preserve">vizsgált </w:t>
      </w:r>
      <w:r w:rsidRPr="001C2DF8">
        <w:t>időszakban sem felelt meg ezeknek az elvárásoknak</w:t>
      </w:r>
      <w:r w:rsidR="000E75AB">
        <w:t xml:space="preserve"> (</w:t>
      </w:r>
      <w:r w:rsidR="000E75AB" w:rsidRPr="0082043C">
        <w:t xml:space="preserve">Wade, </w:t>
      </w:r>
      <w:r w:rsidR="000E75AB">
        <w:t>2004)</w:t>
      </w:r>
      <w:r w:rsidRPr="001C2DF8">
        <w:t xml:space="preserve">. </w:t>
      </w:r>
    </w:p>
    <w:p w:rsidR="002B442E" w:rsidRPr="001C2DF8" w:rsidRDefault="00CB71A1" w:rsidP="007B70B2">
      <w:pPr>
        <w:autoSpaceDE w:val="0"/>
        <w:autoSpaceDN w:val="0"/>
        <w:adjustRightInd w:val="0"/>
        <w:ind w:firstLine="708"/>
        <w:jc w:val="both"/>
      </w:pPr>
      <w:r w:rsidRPr="001C2DF8">
        <w:t xml:space="preserve">Mulatságos módon </w:t>
      </w:r>
      <w:r w:rsidR="008077DD" w:rsidRPr="001C2DF8">
        <w:t>az egyik bizonyíték</w:t>
      </w:r>
      <w:r w:rsidRPr="001C2DF8">
        <w:t>ra</w:t>
      </w:r>
      <w:r w:rsidR="008077DD" w:rsidRPr="001C2DF8">
        <w:t xml:space="preserve"> </w:t>
      </w:r>
      <w:r w:rsidRPr="001C2DF8">
        <w:t xml:space="preserve">éppen </w:t>
      </w:r>
      <w:r w:rsidR="00C45A9B" w:rsidRPr="001C2DF8">
        <w:t>abban az alapműben találhatunk rá, amely Korea gazdagságát a szabadkereskedelemmel magyarázza. É</w:t>
      </w:r>
      <w:r w:rsidR="008077DD" w:rsidRPr="001C2DF8">
        <w:t xml:space="preserve">rdemes számba vennünk, </w:t>
      </w:r>
      <w:r w:rsidR="00C45A9B" w:rsidRPr="001C2DF8">
        <w:t xml:space="preserve">hogyan is jutottak </w:t>
      </w:r>
      <w:r w:rsidR="008077DD" w:rsidRPr="001C2DF8">
        <w:t xml:space="preserve">a liberálisok </w:t>
      </w:r>
      <w:r w:rsidR="00E167A0" w:rsidRPr="001C2DF8">
        <w:t>ez utóbbi következtetés</w:t>
      </w:r>
      <w:r w:rsidR="008077DD" w:rsidRPr="001C2DF8">
        <w:t>re</w:t>
      </w:r>
      <w:r w:rsidR="007739C8" w:rsidRPr="001C2DF8">
        <w:t xml:space="preserve"> mindazoknak</w:t>
      </w:r>
      <w:r w:rsidR="00B74A59" w:rsidRPr="001C2DF8">
        <w:t xml:space="preserve"> </w:t>
      </w:r>
      <w:r w:rsidR="008077DD" w:rsidRPr="001C2DF8">
        <w:t>az adatok</w:t>
      </w:r>
      <w:r w:rsidR="007D7D38" w:rsidRPr="001C2DF8">
        <w:t>nak</w:t>
      </w:r>
      <w:r w:rsidR="00C45A9B" w:rsidRPr="001C2DF8">
        <w:t xml:space="preserve"> </w:t>
      </w:r>
      <w:r w:rsidR="007739C8" w:rsidRPr="001C2DF8">
        <w:t>a figyelmen kívül hagyásával</w:t>
      </w:r>
      <w:r w:rsidR="008077DD" w:rsidRPr="001C2DF8">
        <w:t xml:space="preserve">, amelyek elkedvetlenítették volna őket. </w:t>
      </w:r>
      <w:r w:rsidR="00C45A9B" w:rsidRPr="001C2DF8">
        <w:t xml:space="preserve">Balassa Béla, a Világbank hosszú szolgálatot teljesítő tanácsadója, alapos kutatást végzett hat fejlődő ország </w:t>
      </w:r>
      <w:r w:rsidR="00B74A59" w:rsidRPr="001C2DF8">
        <w:t xml:space="preserve">1969 körüli </w:t>
      </w:r>
      <w:r w:rsidR="00C45A9B" w:rsidRPr="001C2DF8">
        <w:t>kereskedelemi rendszerét górcső alá</w:t>
      </w:r>
      <w:r w:rsidR="006C5379">
        <w:t xml:space="preserve"> véve</w:t>
      </w:r>
      <w:r w:rsidR="00C45A9B" w:rsidRPr="001C2DF8">
        <w:t xml:space="preserve">. </w:t>
      </w:r>
      <w:r w:rsidR="00E167A0" w:rsidRPr="001C2DF8">
        <w:t>A tanulmány</w:t>
      </w:r>
      <w:r w:rsidR="006427D0">
        <w:t xml:space="preserve"> két kritérium alapján mínősített</w:t>
      </w:r>
      <w:r w:rsidR="006C5379">
        <w:t xml:space="preserve"> liberálisnak </w:t>
      </w:r>
      <w:r w:rsidR="006427D0">
        <w:t>egy</w:t>
      </w:r>
      <w:r w:rsidR="006C5379">
        <w:t xml:space="preserve"> </w:t>
      </w:r>
      <w:r w:rsidR="008077DD" w:rsidRPr="001C2DF8">
        <w:t>kereskedel</w:t>
      </w:r>
      <w:r w:rsidR="006C5379">
        <w:t>mi</w:t>
      </w:r>
      <w:r w:rsidR="00B74A59" w:rsidRPr="001C2DF8">
        <w:t xml:space="preserve"> rendszer</w:t>
      </w:r>
      <w:r w:rsidR="006427D0">
        <w:t>t:</w:t>
      </w:r>
      <w:r w:rsidR="00B74A59" w:rsidRPr="001C2DF8">
        <w:t xml:space="preserve"> </w:t>
      </w:r>
      <w:r w:rsidR="006427D0">
        <w:t>1) átlagosan alacsony vé</w:t>
      </w:r>
      <w:r w:rsidR="006427D0" w:rsidRPr="006427D0">
        <w:t xml:space="preserve">delem, 2) a védelem szintjének az átlag körüli csekély </w:t>
      </w:r>
      <w:r w:rsidR="008077DD" w:rsidRPr="006427D0">
        <w:t>ingadozás</w:t>
      </w:r>
      <w:r w:rsidR="006427D0" w:rsidRPr="006427D0">
        <w:t>a</w:t>
      </w:r>
      <w:r w:rsidR="008077DD" w:rsidRPr="006427D0">
        <w:t xml:space="preserve"> (vagy szórás</w:t>
      </w:r>
      <w:r w:rsidR="006427D0" w:rsidRPr="006427D0">
        <w:t>a</w:t>
      </w:r>
      <w:r w:rsidR="008077DD" w:rsidRPr="006427D0">
        <w:t>)</w:t>
      </w:r>
      <w:r w:rsidR="006427D0">
        <w:t xml:space="preserve"> – azaz minden szektor azonos védelemben részesül</w:t>
      </w:r>
      <w:r w:rsidR="00B74A59" w:rsidRPr="006427D0">
        <w:t>.</w:t>
      </w:r>
      <w:r w:rsidR="00B74A59" w:rsidRPr="001C2DF8">
        <w:rPr>
          <w:b/>
        </w:rPr>
        <w:t xml:space="preserve"> </w:t>
      </w:r>
      <w:r w:rsidR="008077DD" w:rsidRPr="001C2DF8">
        <w:t xml:space="preserve">A tanulmány arra </w:t>
      </w:r>
      <w:r w:rsidR="00B74A59" w:rsidRPr="001C2DF8">
        <w:t xml:space="preserve">a következtetésre </w:t>
      </w:r>
      <w:r w:rsidR="008077DD" w:rsidRPr="001C2DF8">
        <w:t xml:space="preserve">jutott, hogy Korea és Tajvan </w:t>
      </w:r>
      <w:r w:rsidR="00B74A59" w:rsidRPr="001C2DF8">
        <w:t xml:space="preserve">esetében </w:t>
      </w:r>
      <w:r w:rsidR="005602E0" w:rsidRPr="001C2DF8">
        <w:t xml:space="preserve">a </w:t>
      </w:r>
      <w:r w:rsidR="006427D0">
        <w:t>termelők</w:t>
      </w:r>
      <w:r w:rsidR="006427D0" w:rsidRPr="001C2DF8">
        <w:t xml:space="preserve"> </w:t>
      </w:r>
      <w:r w:rsidR="00E167A0" w:rsidRPr="001C2DF8">
        <w:t>átlagos védelme</w:t>
      </w:r>
      <w:r w:rsidR="005602E0" w:rsidRPr="001C2DF8">
        <w:t xml:space="preserve"> </w:t>
      </w:r>
      <w:r w:rsidR="008077DD" w:rsidRPr="001C2DF8">
        <w:t xml:space="preserve">viszonylag alacsony </w:t>
      </w:r>
      <w:r w:rsidR="006427D0">
        <w:t>volt</w:t>
      </w:r>
      <w:r w:rsidR="00B74A59" w:rsidRPr="001C2DF8">
        <w:t xml:space="preserve">. </w:t>
      </w:r>
      <w:r w:rsidR="005602E0" w:rsidRPr="001C2DF8">
        <w:t>Az ország</w:t>
      </w:r>
      <w:r w:rsidR="007739C8" w:rsidRPr="001C2DF8">
        <w:t xml:space="preserve"> kereskedelmi</w:t>
      </w:r>
      <w:r w:rsidR="005602E0" w:rsidRPr="001C2DF8">
        <w:t xml:space="preserve"> rendszerét elsősorban erre a felfedezésre alapozva nevezték liberálisnak. Egy másik összefüggés</w:t>
      </w:r>
      <w:r w:rsidR="006427D0">
        <w:t>re</w:t>
      </w:r>
      <w:r w:rsidR="005602E0" w:rsidRPr="001C2DF8">
        <w:t xml:space="preserve"> a</w:t>
      </w:r>
      <w:r w:rsidR="00E167A0" w:rsidRPr="001C2DF8">
        <w:t>zonban</w:t>
      </w:r>
      <w:r w:rsidR="005602E0" w:rsidRPr="001C2DF8">
        <w:t xml:space="preserve"> </w:t>
      </w:r>
      <w:r w:rsidR="00E167A0" w:rsidRPr="001C2DF8">
        <w:t xml:space="preserve">a </w:t>
      </w:r>
      <w:r w:rsidR="005602E0" w:rsidRPr="001C2DF8">
        <w:t xml:space="preserve">tanulmány különös módon </w:t>
      </w:r>
      <w:r w:rsidR="006427D0">
        <w:t>nem hívta fel a figyelmet</w:t>
      </w:r>
      <w:r w:rsidR="005602E0" w:rsidRPr="001C2DF8">
        <w:t>, holott az ugyanabból az adatbázisból válik nyilvánvalóvá.</w:t>
      </w:r>
      <w:r w:rsidR="005602E0" w:rsidRPr="006427D0">
        <w:t xml:space="preserve"> </w:t>
      </w:r>
      <w:r w:rsidR="008077DD" w:rsidRPr="006427D0">
        <w:t>A véde</w:t>
      </w:r>
      <w:r w:rsidR="006427D0" w:rsidRPr="006427D0">
        <w:t>ttség</w:t>
      </w:r>
      <w:r w:rsidR="008077DD" w:rsidRPr="006427D0">
        <w:t xml:space="preserve"> </w:t>
      </w:r>
      <w:r w:rsidR="006427D0" w:rsidRPr="006427D0">
        <w:t xml:space="preserve">szintje igen nagy szóródást mutatott </w:t>
      </w:r>
      <w:r w:rsidR="008077DD" w:rsidRPr="006427D0">
        <w:t>a viszonylag alacsony átla</w:t>
      </w:r>
      <w:r w:rsidR="00E167A0" w:rsidRPr="006427D0">
        <w:t>g körül</w:t>
      </w:r>
      <w:r w:rsidR="006427D0" w:rsidRPr="006427D0">
        <w:t>. K</w:t>
      </w:r>
      <w:r w:rsidR="00E167A0" w:rsidRPr="006427D0">
        <w:t>ore</w:t>
      </w:r>
      <w:r w:rsidR="006427D0" w:rsidRPr="006427D0">
        <w:t>ában</w:t>
      </w:r>
      <w:r w:rsidR="00E167A0" w:rsidRPr="006427D0">
        <w:t xml:space="preserve"> és Tajvan</w:t>
      </w:r>
      <w:r w:rsidR="006427D0" w:rsidRPr="006427D0">
        <w:t>on</w:t>
      </w:r>
      <w:r w:rsidR="00E167A0" w:rsidRPr="006427D0">
        <w:t xml:space="preserve"> </w:t>
      </w:r>
      <w:r w:rsidR="006427D0" w:rsidRPr="006427D0">
        <w:t>nem részesült minden szektor azonos védelemben, az ipari termelői szektoron belül</w:t>
      </w:r>
      <w:r w:rsidR="002B442E" w:rsidRPr="006427D0">
        <w:t xml:space="preserve"> a</w:t>
      </w:r>
      <w:r w:rsidR="008077DD" w:rsidRPr="006427D0">
        <w:t xml:space="preserve"> különféle </w:t>
      </w:r>
      <w:r w:rsidR="002B442E" w:rsidRPr="006427D0">
        <w:t xml:space="preserve">ágazatok </w:t>
      </w:r>
      <w:r w:rsidR="008077DD" w:rsidRPr="006427D0">
        <w:t>védel</w:t>
      </w:r>
      <w:r w:rsidR="006427D0" w:rsidRPr="006427D0">
        <w:t>mi</w:t>
      </w:r>
      <w:r w:rsidR="002B442E" w:rsidRPr="006427D0">
        <w:t xml:space="preserve"> szintje igencsak eltérően alakult</w:t>
      </w:r>
      <w:r w:rsidR="008077DD" w:rsidRPr="006427D0">
        <w:t xml:space="preserve">. </w:t>
      </w:r>
      <w:r w:rsidR="008077DD" w:rsidRPr="001C2DF8">
        <w:t xml:space="preserve">(ld. </w:t>
      </w:r>
      <w:r w:rsidR="006427D0">
        <w:t xml:space="preserve">1. </w:t>
      </w:r>
      <w:r w:rsidR="002B442E" w:rsidRPr="001C2DF8">
        <w:t>TÁBLÁZAT</w:t>
      </w:r>
      <w:r w:rsidR="008077DD" w:rsidRPr="001C2DF8">
        <w:t>)</w:t>
      </w:r>
    </w:p>
    <w:p w:rsidR="002B442E" w:rsidRPr="001C2DF8" w:rsidRDefault="002B442E" w:rsidP="007B70B2">
      <w:pPr>
        <w:autoSpaceDE w:val="0"/>
        <w:autoSpaceDN w:val="0"/>
        <w:adjustRightInd w:val="0"/>
        <w:ind w:firstLine="708"/>
        <w:jc w:val="both"/>
      </w:pPr>
      <w:r w:rsidRPr="001C2DF8">
        <w:t>Nagyon v</w:t>
      </w:r>
      <w:r w:rsidR="008077DD" w:rsidRPr="001C2DF8">
        <w:t xml:space="preserve">alószínű, hogy e különbség nem </w:t>
      </w:r>
      <w:r w:rsidR="00655284">
        <w:t>a véletlen műve, hanem</w:t>
      </w:r>
      <w:r w:rsidR="00655284" w:rsidRPr="001C2DF8">
        <w:t xml:space="preserve"> </w:t>
      </w:r>
      <w:r w:rsidR="00655284">
        <w:t>a</w:t>
      </w:r>
      <w:r w:rsidRPr="001C2DF8">
        <w:t xml:space="preserve"> kormányzati szándék </w:t>
      </w:r>
      <w:r w:rsidR="00655284">
        <w:t>eredménye, egy átfogó</w:t>
      </w:r>
      <w:r w:rsidR="00655284" w:rsidRPr="001C2DF8">
        <w:t xml:space="preserve"> ip</w:t>
      </w:r>
      <w:r w:rsidR="00655284">
        <w:t>arifejlesztési stratégia jegyében</w:t>
      </w:r>
      <w:r w:rsidRPr="001C2DF8">
        <w:t>.</w:t>
      </w:r>
      <w:r w:rsidR="008077DD" w:rsidRPr="001C2DF8">
        <w:t xml:space="preserve"> </w:t>
      </w:r>
      <w:r w:rsidR="005602E0" w:rsidRPr="001C2DF8">
        <w:t xml:space="preserve">Ezzel ellentétben azt látjuk, hogy </w:t>
      </w:r>
      <w:r w:rsidR="002670B8">
        <w:t xml:space="preserve">azon országokban, ahol viszonylag </w:t>
      </w:r>
      <w:r w:rsidRPr="001C2DF8">
        <w:rPr>
          <w:b/>
        </w:rPr>
        <w:t xml:space="preserve">magas átlag körül </w:t>
      </w:r>
      <w:r w:rsidR="002670B8">
        <w:rPr>
          <w:b/>
        </w:rPr>
        <w:t>szóródik</w:t>
      </w:r>
      <w:r w:rsidRPr="001C2DF8">
        <w:rPr>
          <w:b/>
        </w:rPr>
        <w:t xml:space="preserve"> </w:t>
      </w:r>
      <w:r w:rsidR="002670B8">
        <w:rPr>
          <w:b/>
        </w:rPr>
        <w:t xml:space="preserve">a védettség </w:t>
      </w:r>
      <w:r w:rsidR="002670B8" w:rsidRPr="001C2DF8">
        <w:rPr>
          <w:b/>
        </w:rPr>
        <w:t>(Kolumbia, Arge</w:t>
      </w:r>
      <w:r w:rsidR="002670B8">
        <w:rPr>
          <w:b/>
        </w:rPr>
        <w:t xml:space="preserve">ntína), ott ez nem </w:t>
      </w:r>
      <w:r w:rsidRPr="001C2DF8">
        <w:rPr>
          <w:b/>
        </w:rPr>
        <w:t>tudatos elgondolás eredménye</w:t>
      </w:r>
      <w:r w:rsidR="002670B8">
        <w:rPr>
          <w:b/>
        </w:rPr>
        <w:t>.</w:t>
      </w:r>
      <w:r w:rsidR="00E167A0" w:rsidRPr="001C2DF8">
        <w:rPr>
          <w:b/>
        </w:rPr>
        <w:t xml:space="preserve"> </w:t>
      </w:r>
    </w:p>
    <w:p w:rsidR="008077DD" w:rsidRPr="001C2DF8" w:rsidRDefault="008077DD" w:rsidP="007B70B2">
      <w:pPr>
        <w:autoSpaceDE w:val="0"/>
        <w:autoSpaceDN w:val="0"/>
        <w:adjustRightInd w:val="0"/>
        <w:ind w:firstLine="709"/>
        <w:jc w:val="both"/>
      </w:pPr>
      <w:r w:rsidRPr="001C2DF8">
        <w:t>Röviden</w:t>
      </w:r>
      <w:r w:rsidR="007D7D38" w:rsidRPr="001C2DF8">
        <w:t>:</w:t>
      </w:r>
      <w:r w:rsidR="002B442E" w:rsidRPr="001C2DF8">
        <w:t xml:space="preserve"> még a kelet-ázsiai kapitalista gazdaságokat </w:t>
      </w:r>
      <w:r w:rsidR="00FF1E88" w:rsidRPr="001C2DF8">
        <w:t xml:space="preserve">liberális </w:t>
      </w:r>
      <w:r w:rsidRPr="001C2DF8">
        <w:t xml:space="preserve">kereskedelmi rendszerként </w:t>
      </w:r>
      <w:r w:rsidR="006657A2" w:rsidRPr="001C2DF8">
        <w:t>értelmező alapmű</w:t>
      </w:r>
      <w:r w:rsidR="002B442E" w:rsidRPr="001C2DF8">
        <w:t xml:space="preserve"> is saját végkövetkeztetéseit megcáfoló bizonyíték</w:t>
      </w:r>
      <w:r w:rsidR="006657A2" w:rsidRPr="001C2DF8">
        <w:t>ok</w:t>
      </w:r>
      <w:r w:rsidR="002B442E" w:rsidRPr="001C2DF8">
        <w:t xml:space="preserve">kal szolgál. </w:t>
      </w:r>
    </w:p>
    <w:p w:rsidR="006A01AA" w:rsidRDefault="006657A2" w:rsidP="007B70B2">
      <w:pPr>
        <w:autoSpaceDE w:val="0"/>
        <w:autoSpaceDN w:val="0"/>
        <w:adjustRightInd w:val="0"/>
        <w:ind w:firstLine="709"/>
        <w:jc w:val="both"/>
      </w:pPr>
      <w:r w:rsidRPr="001C2DF8">
        <w:t xml:space="preserve">A </w:t>
      </w:r>
      <w:r w:rsidR="008077DD" w:rsidRPr="001C2DF8">
        <w:t xml:space="preserve">hagyományos liberális felfogás </w:t>
      </w:r>
      <w:r w:rsidR="002670B8">
        <w:t>téved az</w:t>
      </w:r>
      <w:r w:rsidRPr="001C2DF8">
        <w:t xml:space="preserve"> idő</w:t>
      </w:r>
      <w:r w:rsidR="002670B8">
        <w:t>beliséget illetően</w:t>
      </w:r>
      <w:r w:rsidR="008077DD" w:rsidRPr="001C2DF8">
        <w:t>, így a szab</w:t>
      </w:r>
      <w:r w:rsidRPr="001C2DF8">
        <w:t>adkereskedelem és a növekedés közötti</w:t>
      </w:r>
      <w:r w:rsidR="008077DD" w:rsidRPr="001C2DF8">
        <w:t xml:space="preserve"> okoz</w:t>
      </w:r>
      <w:r w:rsidRPr="001C2DF8">
        <w:t>ati összefüggés megállapításakor is</w:t>
      </w:r>
      <w:r w:rsidR="008077DD" w:rsidRPr="001C2DF8">
        <w:t xml:space="preserve">. </w:t>
      </w:r>
      <w:r w:rsidRPr="001C2DF8">
        <w:t xml:space="preserve">Érdemes felidéznünk, hogy e felfogás népszerűsítői azt állítják, hogy a </w:t>
      </w:r>
      <w:r w:rsidR="00FF1E88" w:rsidRPr="001C2DF8">
        <w:t xml:space="preserve">liberális </w:t>
      </w:r>
      <w:r w:rsidRPr="001C2DF8">
        <w:t>kereskedelem erős serkentő hatással van az exportra, s ezáltal a gazdaság egészének növekedésére is. Dani Rodrik tárta fel, hogy a</w:t>
      </w:r>
      <w:r w:rsidR="002670B8">
        <w:t xml:space="preserve"> sorrend a valóságban épp fordított</w:t>
      </w:r>
      <w:r w:rsidRPr="001C2DF8">
        <w:t>.</w:t>
      </w:r>
      <w:r w:rsidR="002670B8">
        <w:t xml:space="preserve"> Nem azt látjuk, hogy </w:t>
      </w:r>
      <w:r w:rsidR="000E62C9">
        <w:t>előbb</w:t>
      </w:r>
      <w:r w:rsidR="002670B8">
        <w:t xml:space="preserve"> </w:t>
      </w:r>
      <w:r w:rsidR="000E62C9">
        <w:t>a javul</w:t>
      </w:r>
      <w:r w:rsidR="002670B8">
        <w:t xml:space="preserve"> </w:t>
      </w:r>
      <w:r w:rsidR="000E62C9">
        <w:t xml:space="preserve">az eportösztönzés rendszere, amit az export bővülése követ, hanem </w:t>
      </w:r>
      <w:r w:rsidR="0068370E">
        <w:t>a beruházásösztönzés rendszerének javulása előzi meg az export bővülését, ami</w:t>
      </w:r>
      <w:r w:rsidR="00AE75A5" w:rsidRPr="001C2DF8">
        <w:t xml:space="preserve"> </w:t>
      </w:r>
      <w:r w:rsidRPr="001C2DF8">
        <w:t>javarészt a megváltozott korm</w:t>
      </w:r>
      <w:r w:rsidR="00AE75A5" w:rsidRPr="001C2DF8">
        <w:t>ányzati politikának köszönhető</w:t>
      </w:r>
      <w:r w:rsidRPr="001C2DF8">
        <w:t xml:space="preserve">. </w:t>
      </w:r>
      <w:r w:rsidR="0068370E">
        <w:t>Az első fázis a</w:t>
      </w:r>
      <w:r w:rsidR="00AE75A5" w:rsidRPr="001C2DF8">
        <w:t xml:space="preserve"> </w:t>
      </w:r>
      <w:r w:rsidR="0068370E" w:rsidRPr="001C2DF8">
        <w:t>befektetés</w:t>
      </w:r>
      <w:r w:rsidR="0068370E">
        <w:t>ek megugrása</w:t>
      </w:r>
      <w:r w:rsidR="00AE75A5" w:rsidRPr="001C2DF8">
        <w:t xml:space="preserve"> (Tajvan esetében ez nagyjából 1958 és 1960 közötti időszakot jelenti)</w:t>
      </w:r>
      <w:r w:rsidR="0068370E">
        <w:t>,</w:t>
      </w:r>
      <w:r w:rsidR="00AE75A5" w:rsidRPr="001C2DF8">
        <w:t xml:space="preserve"> </w:t>
      </w:r>
      <w:r w:rsidR="0068370E">
        <w:t>eközben a</w:t>
      </w:r>
      <w:r w:rsidR="00AE75A5" w:rsidRPr="001C2DF8">
        <w:t xml:space="preserve"> kereskedelemösztönzés </w:t>
      </w:r>
      <w:r w:rsidR="0068370E">
        <w:t>rendszere</w:t>
      </w:r>
      <w:r w:rsidR="0068370E" w:rsidRPr="001C2DF8">
        <w:t xml:space="preserve"> </w:t>
      </w:r>
      <w:r w:rsidR="00AE75A5" w:rsidRPr="001C2DF8">
        <w:t>változ</w:t>
      </w:r>
      <w:r w:rsidR="0068370E">
        <w:t>atlan</w:t>
      </w:r>
      <w:r w:rsidR="006A01AA">
        <w:t xml:space="preserve"> maradt</w:t>
      </w:r>
      <w:r w:rsidR="00AE75A5" w:rsidRPr="001C2DF8">
        <w:t xml:space="preserve">, </w:t>
      </w:r>
      <w:r w:rsidR="0068370E">
        <w:t xml:space="preserve">ezt követte </w:t>
      </w:r>
      <w:r w:rsidR="00AE75A5" w:rsidRPr="001C2DF8">
        <w:t>az export gyors növekedése</w:t>
      </w:r>
      <w:r w:rsidR="0068370E">
        <w:t>, majd a gazdasági növekedés</w:t>
      </w:r>
      <w:r w:rsidR="00AE75A5" w:rsidRPr="001C2DF8">
        <w:t xml:space="preserve"> </w:t>
      </w:r>
      <w:r w:rsidR="0068370E">
        <w:t>végül a</w:t>
      </w:r>
      <w:r w:rsidR="00AE75A5" w:rsidRPr="001C2DF8">
        <w:t xml:space="preserve"> kereskedel</w:t>
      </w:r>
      <w:r w:rsidR="0068370E">
        <w:t>em</w:t>
      </w:r>
      <w:r w:rsidR="00AE75A5" w:rsidRPr="001C2DF8">
        <w:t xml:space="preserve"> liberalizáció</w:t>
      </w:r>
      <w:r w:rsidR="0068370E">
        <w:t>ja.</w:t>
      </w:r>
      <w:r w:rsidR="00AE75A5" w:rsidRPr="001C2DF8">
        <w:t xml:space="preserve"> </w:t>
      </w:r>
    </w:p>
    <w:p w:rsidR="006B1018" w:rsidRPr="006A01AA" w:rsidRDefault="008077DD" w:rsidP="006A01AA">
      <w:pPr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6A01AA">
        <w:rPr>
          <w:sz w:val="20"/>
          <w:szCs w:val="20"/>
        </w:rPr>
        <w:t>A kelet-ázsiai lecke világos – állítja Rodrik – a három kelet-ázsiai kis-tigris</w:t>
      </w:r>
      <w:r w:rsidRPr="006A01AA">
        <w:rPr>
          <w:b/>
          <w:sz w:val="20"/>
          <w:szCs w:val="20"/>
        </w:rPr>
        <w:t xml:space="preserve"> </w:t>
      </w:r>
      <w:r w:rsidR="00AE75A5" w:rsidRPr="006A01AA">
        <w:rPr>
          <w:sz w:val="20"/>
          <w:szCs w:val="20"/>
        </w:rPr>
        <w:t xml:space="preserve">– Dél-Korea, Tajvan és Szingapúr – </w:t>
      </w:r>
      <w:r w:rsidR="006A01AA" w:rsidRPr="006A01AA">
        <w:rPr>
          <w:sz w:val="20"/>
          <w:szCs w:val="20"/>
        </w:rPr>
        <w:t xml:space="preserve"> hatvanas évek elejének </w:t>
      </w:r>
      <w:r w:rsidR="00AE75A5" w:rsidRPr="006A01AA">
        <w:rPr>
          <w:sz w:val="20"/>
          <w:szCs w:val="20"/>
        </w:rPr>
        <w:t xml:space="preserve">alacsony </w:t>
      </w:r>
      <w:r w:rsidR="006A01AA" w:rsidRPr="006A01AA">
        <w:rPr>
          <w:sz w:val="20"/>
          <w:szCs w:val="20"/>
        </w:rPr>
        <w:t>beruházási rátájával</w:t>
      </w:r>
      <w:r w:rsidR="00AE75A5" w:rsidRPr="006A01AA">
        <w:rPr>
          <w:sz w:val="20"/>
          <w:szCs w:val="20"/>
        </w:rPr>
        <w:t xml:space="preserve"> </w:t>
      </w:r>
      <w:r w:rsidRPr="006A01AA">
        <w:rPr>
          <w:sz w:val="20"/>
          <w:szCs w:val="20"/>
        </w:rPr>
        <w:t xml:space="preserve">korántsem </w:t>
      </w:r>
      <w:r w:rsidR="00AE75A5" w:rsidRPr="006A01AA">
        <w:rPr>
          <w:sz w:val="20"/>
          <w:szCs w:val="20"/>
        </w:rPr>
        <w:t>lett volna oly sikeres, ha kormányai</w:t>
      </w:r>
      <w:r w:rsidR="006A01AA" w:rsidRPr="006A01AA">
        <w:rPr>
          <w:sz w:val="20"/>
          <w:szCs w:val="20"/>
        </w:rPr>
        <w:t>k</w:t>
      </w:r>
      <w:r w:rsidRPr="006A01AA">
        <w:rPr>
          <w:sz w:val="20"/>
          <w:szCs w:val="20"/>
        </w:rPr>
        <w:t xml:space="preserve"> </w:t>
      </w:r>
      <w:r w:rsidR="00AE75A5" w:rsidRPr="006A01AA">
        <w:rPr>
          <w:sz w:val="20"/>
          <w:szCs w:val="20"/>
        </w:rPr>
        <w:t xml:space="preserve">nem adtak volna lökést </w:t>
      </w:r>
      <w:r w:rsidRPr="006A01AA">
        <w:rPr>
          <w:sz w:val="20"/>
          <w:szCs w:val="20"/>
        </w:rPr>
        <w:t xml:space="preserve">a tőkefelhalmozásnak </w:t>
      </w:r>
      <w:r w:rsidR="00AE75A5" w:rsidRPr="006A01AA">
        <w:rPr>
          <w:sz w:val="20"/>
          <w:szCs w:val="20"/>
        </w:rPr>
        <w:t xml:space="preserve">a </w:t>
      </w:r>
      <w:r w:rsidR="006A01AA" w:rsidRPr="006A01AA">
        <w:rPr>
          <w:sz w:val="20"/>
          <w:szCs w:val="20"/>
        </w:rPr>
        <w:t xml:space="preserve">magánberuházások </w:t>
      </w:r>
      <w:r w:rsidR="00AE75A5" w:rsidRPr="006A01AA">
        <w:rPr>
          <w:sz w:val="20"/>
          <w:szCs w:val="20"/>
        </w:rPr>
        <w:t xml:space="preserve">támogatása és ösztönzése révén. </w:t>
      </w:r>
      <w:r w:rsidR="006B1018" w:rsidRPr="006A01AA">
        <w:rPr>
          <w:sz w:val="20"/>
          <w:szCs w:val="20"/>
        </w:rPr>
        <w:t>Kelet-Á</w:t>
      </w:r>
      <w:r w:rsidRPr="006A01AA">
        <w:rPr>
          <w:sz w:val="20"/>
          <w:szCs w:val="20"/>
        </w:rPr>
        <w:t>zs</w:t>
      </w:r>
      <w:r w:rsidR="006B1018" w:rsidRPr="006A01AA">
        <w:rPr>
          <w:sz w:val="20"/>
          <w:szCs w:val="20"/>
        </w:rPr>
        <w:t xml:space="preserve">ia példája azt bizonyítja, </w:t>
      </w:r>
      <w:r w:rsidRPr="006A01AA">
        <w:rPr>
          <w:sz w:val="20"/>
          <w:szCs w:val="20"/>
        </w:rPr>
        <w:t>h</w:t>
      </w:r>
      <w:r w:rsidR="001B7FDB" w:rsidRPr="006A01AA">
        <w:rPr>
          <w:sz w:val="20"/>
          <w:szCs w:val="20"/>
        </w:rPr>
        <w:t xml:space="preserve">ogy a befektetetések </w:t>
      </w:r>
      <w:r w:rsidR="006A01AA" w:rsidRPr="006A01AA">
        <w:rPr>
          <w:sz w:val="20"/>
          <w:szCs w:val="20"/>
        </w:rPr>
        <w:t xml:space="preserve">fellendülése </w:t>
      </w:r>
      <w:r w:rsidRPr="006A01AA">
        <w:rPr>
          <w:sz w:val="20"/>
          <w:szCs w:val="20"/>
        </w:rPr>
        <w:t xml:space="preserve">gazdasági </w:t>
      </w:r>
      <w:r w:rsidR="006A01AA" w:rsidRPr="006A01AA">
        <w:rPr>
          <w:sz w:val="20"/>
          <w:szCs w:val="20"/>
        </w:rPr>
        <w:t>növekedéséhez és fokozott export-orientációhoz vezet.</w:t>
      </w:r>
      <w:r w:rsidRPr="006A01AA">
        <w:rPr>
          <w:sz w:val="20"/>
          <w:szCs w:val="20"/>
        </w:rPr>
        <w:t xml:space="preserve"> </w:t>
      </w:r>
      <w:r w:rsidR="000E75AB" w:rsidRPr="006A01AA">
        <w:rPr>
          <w:sz w:val="20"/>
          <w:szCs w:val="20"/>
        </w:rPr>
        <w:t>(Rodrik, 1999</w:t>
      </w:r>
      <w:r w:rsidR="006A01AA" w:rsidRPr="006A01AA">
        <w:rPr>
          <w:sz w:val="20"/>
          <w:szCs w:val="20"/>
        </w:rPr>
        <w:t>: 63</w:t>
      </w:r>
      <w:r w:rsidR="000E75AB" w:rsidRPr="006A01AA">
        <w:rPr>
          <w:sz w:val="20"/>
          <w:szCs w:val="20"/>
        </w:rPr>
        <w:t>)</w:t>
      </w:r>
      <w:r w:rsidR="00FA0B2A" w:rsidRPr="006A01AA">
        <w:rPr>
          <w:rStyle w:val="Lbjegyzet-hivatkozs"/>
          <w:sz w:val="20"/>
          <w:szCs w:val="20"/>
        </w:rPr>
        <w:footnoteReference w:id="2"/>
      </w:r>
      <w:r w:rsidRPr="006A01AA">
        <w:rPr>
          <w:sz w:val="20"/>
          <w:szCs w:val="20"/>
        </w:rPr>
        <w:t xml:space="preserve"> </w:t>
      </w:r>
    </w:p>
    <w:p w:rsidR="00EC2903" w:rsidRPr="001C2DF8" w:rsidRDefault="00074DC8" w:rsidP="007B70B2">
      <w:pPr>
        <w:autoSpaceDE w:val="0"/>
        <w:autoSpaceDN w:val="0"/>
        <w:adjustRightInd w:val="0"/>
        <w:ind w:firstLine="708"/>
        <w:jc w:val="both"/>
      </w:pPr>
      <w:r w:rsidRPr="00074DC8">
        <w:lastRenderedPageBreak/>
        <w:t>A tanulmányozott kelet-ázsiai adatok inkább azt a feltevést támasztják alá, hogy minél gazdagabbak az államok, annál inkább liberalizálják kereskedelmüket, nem pedig azt, hogy a szabad kereskedelem teszi gazdaggá az országokat.</w:t>
      </w:r>
      <w:r>
        <w:t xml:space="preserve"> </w:t>
      </w:r>
      <w:r w:rsidR="00EC2903" w:rsidRPr="001C2DF8">
        <w:t>A befektetés elsőbbsége nem K</w:t>
      </w:r>
      <w:r w:rsidR="008077DD" w:rsidRPr="001C2DF8">
        <w:t>elet-</w:t>
      </w:r>
      <w:r w:rsidR="008077DD" w:rsidRPr="00074DC8">
        <w:t xml:space="preserve">Ázsiára jellemző különlegesség: a </w:t>
      </w:r>
      <w:r w:rsidR="00EC2903" w:rsidRPr="00074DC8">
        <w:t xml:space="preserve">beruházás </w:t>
      </w:r>
      <w:r w:rsidRPr="00074DC8">
        <w:t xml:space="preserve">bővülése </w:t>
      </w:r>
      <w:r w:rsidR="00EC2903" w:rsidRPr="00074DC8">
        <w:t>a</w:t>
      </w:r>
      <w:r w:rsidRPr="00074DC8">
        <w:t xml:space="preserve"> növekedés előfeltétele</w:t>
      </w:r>
      <w:r w:rsidR="008077DD" w:rsidRPr="001C2DF8">
        <w:rPr>
          <w:b/>
        </w:rPr>
        <w:t>.</w:t>
      </w:r>
      <w:r w:rsidR="008077DD" w:rsidRPr="001C2DF8">
        <w:t xml:space="preserve"> Rodrik következtetés</w:t>
      </w:r>
      <w:r>
        <w:t>e</w:t>
      </w:r>
      <w:r w:rsidR="008077DD" w:rsidRPr="001C2DF8">
        <w:t>: „Az</w:t>
      </w:r>
      <w:r>
        <w:t>on</w:t>
      </w:r>
      <w:r w:rsidR="008077DD" w:rsidRPr="001C2DF8">
        <w:t xml:space="preserve"> országok, melyek képes</w:t>
      </w:r>
      <w:r w:rsidR="00FF1E88" w:rsidRPr="001C2DF8">
        <w:t xml:space="preserve">ek </w:t>
      </w:r>
      <w:r>
        <w:t>fokozni a beruházásokat</w:t>
      </w:r>
      <w:r w:rsidR="008077DD" w:rsidRPr="001C2DF8">
        <w:t xml:space="preserve">, gyorsabb gazdasági </w:t>
      </w:r>
      <w:r>
        <w:t>növekedésre számíthatnak</w:t>
      </w:r>
      <w:r w:rsidR="008077DD" w:rsidRPr="001C2DF8">
        <w:t>.”</w:t>
      </w:r>
      <w:r w:rsidR="00961B3F" w:rsidRPr="001C2DF8">
        <w:rPr>
          <w:rStyle w:val="Lbjegyzet-hivatkozs"/>
        </w:rPr>
        <w:footnoteReference w:id="3"/>
      </w:r>
    </w:p>
    <w:p w:rsidR="007D7D38" w:rsidRPr="001C2DF8" w:rsidRDefault="008077DD" w:rsidP="00355DA3">
      <w:pPr>
        <w:autoSpaceDE w:val="0"/>
        <w:autoSpaceDN w:val="0"/>
        <w:adjustRightInd w:val="0"/>
        <w:ind w:firstLine="708"/>
        <w:jc w:val="both"/>
      </w:pPr>
      <w:r w:rsidRPr="001C2DF8">
        <w:t>Mi</w:t>
      </w:r>
      <w:r w:rsidR="00355DA3">
        <w:t>t</w:t>
      </w:r>
      <w:r w:rsidRPr="001C2DF8">
        <w:t xml:space="preserve"> </w:t>
      </w:r>
      <w:r w:rsidR="00355DA3">
        <w:t>mondju</w:t>
      </w:r>
      <w:r w:rsidR="00C83F0A">
        <w:t>n</w:t>
      </w:r>
      <w:r w:rsidR="00355DA3">
        <w:t>k akkor</w:t>
      </w:r>
      <w:r w:rsidR="00EC2903" w:rsidRPr="001C2DF8">
        <w:t xml:space="preserve"> </w:t>
      </w:r>
      <w:r w:rsidRPr="001C2DF8">
        <w:t>a Világban</w:t>
      </w:r>
      <w:r w:rsidR="00EC2903" w:rsidRPr="001C2DF8">
        <w:t>k</w:t>
      </w:r>
      <w:r w:rsidRPr="001C2DF8">
        <w:t xml:space="preserve"> </w:t>
      </w:r>
      <w:r w:rsidR="00FF1E88" w:rsidRPr="001C2DF8">
        <w:t>a „kelet-á</w:t>
      </w:r>
      <w:r w:rsidR="00EC2903" w:rsidRPr="001C2DF8">
        <w:t>zsiai csodáról</w:t>
      </w:r>
      <w:r w:rsidRPr="001C2DF8">
        <w:t>”</w:t>
      </w:r>
      <w:r w:rsidR="00EC2903" w:rsidRPr="001C2DF8">
        <w:t xml:space="preserve"> szóló</w:t>
      </w:r>
      <w:r w:rsidR="000E75AB">
        <w:t xml:space="preserve"> 1993-as tanulmányá</w:t>
      </w:r>
      <w:r w:rsidR="00355DA3">
        <w:t>ról</w:t>
      </w:r>
      <w:r w:rsidR="000E75AB">
        <w:t xml:space="preserve"> (</w:t>
      </w:r>
      <w:r w:rsidR="000E75AB" w:rsidRPr="0082043C">
        <w:t>World Ban</w:t>
      </w:r>
      <w:r w:rsidR="000E75AB">
        <w:t>k, 1993)?</w:t>
      </w:r>
      <w:r w:rsidRPr="001C2DF8">
        <w:t xml:space="preserve"> </w:t>
      </w:r>
      <w:r w:rsidR="00EC2903" w:rsidRPr="001C2DF8">
        <w:t>A munka (Kína kivételével) n</w:t>
      </w:r>
      <w:r w:rsidRPr="001C2DF8">
        <w:t xml:space="preserve">yolc </w:t>
      </w:r>
      <w:r w:rsidR="00EC2903" w:rsidRPr="001C2DF8">
        <w:t>prosperáló kelet-á</w:t>
      </w:r>
      <w:r w:rsidRPr="001C2DF8">
        <w:t>zsiai gazdaság</w:t>
      </w:r>
      <w:r w:rsidR="00355DA3">
        <w:t>o</w:t>
      </w:r>
      <w:r w:rsidRPr="001C2DF8">
        <w:t>t</w:t>
      </w:r>
      <w:r w:rsidR="00EC2903" w:rsidRPr="001C2DF8">
        <w:t xml:space="preserve"> vizsgált, </w:t>
      </w:r>
      <w:r w:rsidR="00CE2917" w:rsidRPr="001C2DF8">
        <w:t>az iparpolitika hatásait tesztel</w:t>
      </w:r>
      <w:r w:rsidR="006F3F5F">
        <w:t>ve</w:t>
      </w:r>
      <w:r w:rsidR="00CE2917" w:rsidRPr="001C2DF8">
        <w:t xml:space="preserve"> </w:t>
      </w:r>
      <w:r w:rsidRPr="001C2DF8">
        <w:t>számtalan módon</w:t>
      </w:r>
      <w:r w:rsidR="00CE2917" w:rsidRPr="001C2DF8">
        <w:t>.</w:t>
      </w:r>
      <w:r w:rsidRPr="001C2DF8">
        <w:t xml:space="preserve"> </w:t>
      </w:r>
      <w:r w:rsidR="006F3F5F">
        <w:t>A tanulmány szerzői szerint a</w:t>
      </w:r>
      <w:r w:rsidR="006F3F5F" w:rsidRPr="001C2DF8">
        <w:t xml:space="preserve">z </w:t>
      </w:r>
      <w:r w:rsidR="00CE2917" w:rsidRPr="001C2DF8">
        <w:t>ágazati iparpolitik</w:t>
      </w:r>
      <w:r w:rsidR="006F3F5F">
        <w:t>a</w:t>
      </w:r>
      <w:r w:rsidRPr="001C2DF8">
        <w:t xml:space="preserve"> (</w:t>
      </w:r>
      <w:r w:rsidR="006F3F5F">
        <w:t>olyan állami fejlesztési stratégia, mely néhány kiemelt szektorrra fókuszál</w:t>
      </w:r>
      <w:r w:rsidR="00FF1E88" w:rsidRPr="001C2DF8">
        <w:t>, mint amilyen a vegyi</w:t>
      </w:r>
      <w:r w:rsidR="006F3F5F">
        <w:t>par</w:t>
      </w:r>
      <w:r w:rsidR="00FF1E88" w:rsidRPr="001C2DF8">
        <w:t xml:space="preserve"> vagy a félvezető-ágazat) </w:t>
      </w:r>
      <w:r w:rsidR="006F3F5F">
        <w:t>„</w:t>
      </w:r>
      <w:r w:rsidR="007D7D38" w:rsidRPr="001C2DF8">
        <w:t xml:space="preserve">nagyrészt </w:t>
      </w:r>
      <w:r w:rsidR="006F3F5F">
        <w:t>eredménytelen</w:t>
      </w:r>
      <w:r w:rsidR="006F3F5F" w:rsidRPr="001C2DF8">
        <w:t xml:space="preserve"> </w:t>
      </w:r>
      <w:r w:rsidR="007D7D38" w:rsidRPr="001C2DF8">
        <w:t>volt”</w:t>
      </w:r>
      <w:r w:rsidR="006F3F5F">
        <w:t>,</w:t>
      </w:r>
      <w:r w:rsidR="007D7D38" w:rsidRPr="001C2DF8">
        <w:t xml:space="preserve"> </w:t>
      </w:r>
      <w:r w:rsidR="006F3F5F">
        <w:t>majd</w:t>
      </w:r>
      <w:r w:rsidR="006F3F5F" w:rsidRPr="001C2DF8">
        <w:t xml:space="preserve"> </w:t>
      </w:r>
      <w:r w:rsidR="007D7D38" w:rsidRPr="001C2DF8">
        <w:t>arra a következtetésre jut</w:t>
      </w:r>
      <w:r w:rsidR="006F3F5F">
        <w:t>nak</w:t>
      </w:r>
      <w:r w:rsidR="007D7D38" w:rsidRPr="001C2DF8">
        <w:t xml:space="preserve">, </w:t>
      </w:r>
      <w:r w:rsidR="006F3F5F">
        <w:t xml:space="preserve">hogy </w:t>
      </w:r>
      <w:r w:rsidR="007D7D38" w:rsidRPr="001C2DF8">
        <w:t xml:space="preserve">„a </w:t>
      </w:r>
      <w:r w:rsidR="006F3F5F">
        <w:t>kiemelt</w:t>
      </w:r>
      <w:r w:rsidR="006F3F5F" w:rsidRPr="001C2DF8">
        <w:t xml:space="preserve"> </w:t>
      </w:r>
      <w:r w:rsidR="007D7D38" w:rsidRPr="001C2DF8">
        <w:t xml:space="preserve">iparágak támogatása általánosan sikertelennek mondható, ezért </w:t>
      </w:r>
      <w:r w:rsidR="006F3F5F">
        <w:t>e</w:t>
      </w:r>
      <w:r w:rsidR="007D7D38" w:rsidRPr="001C2DF8">
        <w:t xml:space="preserve"> módszer nem sok reménnyel kecsegtet a többi fejlődő ország</w:t>
      </w:r>
      <w:r w:rsidR="006F3F5F">
        <w:t xml:space="preserve"> számára</w:t>
      </w:r>
      <w:r w:rsidR="007D7D38" w:rsidRPr="001C2DF8">
        <w:t xml:space="preserve">”. (1993:312, 354)  </w:t>
      </w:r>
    </w:p>
    <w:p w:rsidR="0069414E" w:rsidRPr="001C2DF8" w:rsidRDefault="0069414E" w:rsidP="007B70B2">
      <w:pPr>
        <w:autoSpaceDE w:val="0"/>
        <w:autoSpaceDN w:val="0"/>
        <w:adjustRightInd w:val="0"/>
        <w:ind w:firstLine="708"/>
        <w:jc w:val="both"/>
      </w:pPr>
      <w:r w:rsidRPr="001C2DF8">
        <w:t xml:space="preserve">S ha történetesen Kelet-Ázsiában e </w:t>
      </w:r>
      <w:r w:rsidR="00CE2917" w:rsidRPr="001C2DF8">
        <w:t xml:space="preserve">stratégia </w:t>
      </w:r>
      <w:r w:rsidRPr="001C2DF8">
        <w:t xml:space="preserve">hatásos is volt – állapítja meg a tanulmány  – a fejlődő országok zöme hasonló sikert aligha remélhet, hiszen annak </w:t>
      </w:r>
      <w:r w:rsidR="00CE2917" w:rsidRPr="001C2DF8">
        <w:t>adminisztratív és politikai feltét</w:t>
      </w:r>
      <w:r w:rsidRPr="001C2DF8">
        <w:t>elei</w:t>
      </w:r>
      <w:r w:rsidR="00CE2917" w:rsidRPr="001C2DF8">
        <w:t xml:space="preserve"> </w:t>
      </w:r>
      <w:r w:rsidRPr="001C2DF8">
        <w:t xml:space="preserve">túlontúl összetettek </w:t>
      </w:r>
      <w:r w:rsidR="00CE2917" w:rsidRPr="001C2DF8">
        <w:t>(például az ágazat-specifikus támogatásokat kijelölő számítások bonyolultsága okán)</w:t>
      </w:r>
      <w:r w:rsidRPr="001C2DF8">
        <w:t>.</w:t>
      </w:r>
      <w:r w:rsidR="00CE2917" w:rsidRPr="001C2DF8">
        <w:t xml:space="preserve"> </w:t>
      </w:r>
      <w:r w:rsidRPr="001C2DF8">
        <w:t xml:space="preserve">„A siker </w:t>
      </w:r>
      <w:r w:rsidR="00C83F0A">
        <w:t>[</w:t>
      </w:r>
      <w:r w:rsidRPr="001C2DF8">
        <w:t xml:space="preserve">minthogy az </w:t>
      </w:r>
      <w:r w:rsidR="008077DD" w:rsidRPr="001C2DF8">
        <w:t>volt</w:t>
      </w:r>
      <w:r w:rsidR="00C83F0A">
        <w:t>]</w:t>
      </w:r>
      <w:r w:rsidR="00C83F0A" w:rsidRPr="001C2DF8">
        <w:t xml:space="preserve"> </w:t>
      </w:r>
      <w:r w:rsidR="008077DD" w:rsidRPr="001C2DF8">
        <w:t>előfeltételei olyan szigorúak, hogy azok a politikusok</w:t>
      </w:r>
      <w:r w:rsidRPr="001C2DF8">
        <w:t>,</w:t>
      </w:r>
      <w:r w:rsidR="008077DD" w:rsidRPr="001C2DF8">
        <w:t xml:space="preserve"> akik más fej</w:t>
      </w:r>
      <w:r w:rsidRPr="001C2DF8">
        <w:t>lődő országokban hasonló mintá</w:t>
      </w:r>
      <w:r w:rsidR="008077DD" w:rsidRPr="001C2DF8">
        <w:t>t</w:t>
      </w:r>
      <w:r w:rsidRPr="001C2DF8">
        <w:t xml:space="preserve"> kívántak követni, gyakran </w:t>
      </w:r>
      <w:r w:rsidR="00C83F0A">
        <w:t>[</w:t>
      </w:r>
      <w:r w:rsidRPr="001C2DF8">
        <w:t>ért</w:t>
      </w:r>
      <w:r w:rsidR="008077DD" w:rsidRPr="001C2DF8">
        <w:t>sd: általában</w:t>
      </w:r>
      <w:r w:rsidR="00C83F0A">
        <w:t>]</w:t>
      </w:r>
      <w:r w:rsidR="00C83F0A" w:rsidRPr="001C2DF8">
        <w:t xml:space="preserve"> </w:t>
      </w:r>
      <w:r w:rsidR="008077DD" w:rsidRPr="001C2DF8">
        <w:t xml:space="preserve">kudarccal </w:t>
      </w:r>
      <w:r w:rsidR="006F3F5F">
        <w:t>jártak</w:t>
      </w:r>
      <w:r w:rsidR="008077DD" w:rsidRPr="001C2DF8">
        <w:t>.</w:t>
      </w:r>
      <w:r w:rsidR="005F745B" w:rsidRPr="001C2DF8">
        <w:t>”</w:t>
      </w:r>
      <w:r w:rsidR="008077DD" w:rsidRPr="001C2DF8">
        <w:t xml:space="preserve"> </w:t>
      </w:r>
      <w:r w:rsidR="00665A14" w:rsidRPr="001C2DF8">
        <w:t xml:space="preserve">(1993:6) </w:t>
      </w:r>
      <w:r w:rsidR="008A7F78" w:rsidRPr="001C2DF8">
        <w:t>Nem véletlen, ha min</w:t>
      </w:r>
      <w:r w:rsidR="00C43C46" w:rsidRPr="001C2DF8">
        <w:t>dez</w:t>
      </w:r>
      <w:r w:rsidRPr="001C2DF8">
        <w:t xml:space="preserve"> Howard Pack korábban már idézett gondolatai</w:t>
      </w:r>
      <w:r w:rsidR="00C43C46" w:rsidRPr="001C2DF8">
        <w:t>t jut</w:t>
      </w:r>
      <w:r w:rsidR="006F3F5F">
        <w:t>tat</w:t>
      </w:r>
      <w:r w:rsidR="00C43C46" w:rsidRPr="001C2DF8">
        <w:t xml:space="preserve">ja eszünkbe. A Világbank szaktanácsadójaként ő írta a „csoda-tanulmány” </w:t>
      </w:r>
      <w:r w:rsidR="006F3F5F">
        <w:t>iparpolitika</w:t>
      </w:r>
      <w:r w:rsidR="00C43C46" w:rsidRPr="001C2DF8">
        <w:t xml:space="preserve">hatásaival foglalkozó fejezetét.  </w:t>
      </w:r>
      <w:r w:rsidRPr="001C2DF8">
        <w:t xml:space="preserve"> </w:t>
      </w:r>
    </w:p>
    <w:p w:rsidR="008077DD" w:rsidRPr="001C2DF8" w:rsidRDefault="00C43C46" w:rsidP="007B70B2">
      <w:pPr>
        <w:autoSpaceDE w:val="0"/>
        <w:autoSpaceDN w:val="0"/>
        <w:adjustRightInd w:val="0"/>
        <w:ind w:firstLine="708"/>
        <w:jc w:val="both"/>
      </w:pPr>
      <w:r w:rsidRPr="001C2DF8">
        <w:t>Csakhogy a „csoda-tanulmány” kevéssé meggyőző bizonyítékokat vonultat föl</w:t>
      </w:r>
      <w:r w:rsidR="000E75AB">
        <w:t xml:space="preserve"> (</w:t>
      </w:r>
      <w:r w:rsidR="000E75AB" w:rsidRPr="0082043C">
        <w:t xml:space="preserve">Fishlow </w:t>
      </w:r>
      <w:r w:rsidR="000E75AB">
        <w:t>at al</w:t>
      </w:r>
      <w:r w:rsidR="000E75AB" w:rsidRPr="0082043C">
        <w:t>.</w:t>
      </w:r>
      <w:r w:rsidR="000E75AB">
        <w:t>, 1994)</w:t>
      </w:r>
      <w:r w:rsidRPr="001C2DF8">
        <w:t xml:space="preserve">. Ezt igazolandó ezúttal csak egyetlen </w:t>
      </w:r>
      <w:r w:rsidR="00C83F0A">
        <w:t>dolgot</w:t>
      </w:r>
      <w:r w:rsidRPr="001C2DF8">
        <w:t xml:space="preserve"> említek meg: </w:t>
      </w:r>
      <w:r w:rsidR="00C83F0A">
        <w:t xml:space="preserve">az externáliák vagy a szektorok közötti átgyűrűző hatások megragadásának problémája. </w:t>
      </w:r>
      <w:r w:rsidR="001D0864" w:rsidRPr="001C2DF8">
        <w:t xml:space="preserve">A </w:t>
      </w:r>
      <w:r w:rsidR="00BE6DBF">
        <w:t>szektorok közötti átgyűrűző</w:t>
      </w:r>
      <w:r w:rsidR="001D0864" w:rsidRPr="001C2DF8">
        <w:t xml:space="preserve"> hatás igen nehéz</w:t>
      </w:r>
      <w:r w:rsidR="00FD521C">
        <w:t xml:space="preserve"> kérdés</w:t>
      </w:r>
      <w:r w:rsidR="001D0864" w:rsidRPr="001C2DF8">
        <w:t>. Pedig valós jelenségről bes</w:t>
      </w:r>
      <w:r w:rsidR="005F745B" w:rsidRPr="001C2DF8">
        <w:t xml:space="preserve">zélünk. Az </w:t>
      </w:r>
      <w:r w:rsidR="00501E34" w:rsidRPr="001C2DF8">
        <w:t>ipar</w:t>
      </w:r>
      <w:r w:rsidR="005F745B" w:rsidRPr="001C2DF8">
        <w:t xml:space="preserve">politika </w:t>
      </w:r>
      <w:r w:rsidR="001D0864" w:rsidRPr="001C2DF8">
        <w:t>kritikusa</w:t>
      </w:r>
      <w:r w:rsidR="00FD521C">
        <w:t>i</w:t>
      </w:r>
      <w:r w:rsidR="001D0864" w:rsidRPr="001C2DF8">
        <w:t xml:space="preserve"> </w:t>
      </w:r>
      <w:r w:rsidR="00FD521C">
        <w:t xml:space="preserve">szerint </w:t>
      </w:r>
      <w:r w:rsidR="001D0864" w:rsidRPr="001C2DF8">
        <w:t xml:space="preserve">X ágazat támogatásának és védelmének mértéke valamint </w:t>
      </w:r>
      <w:r w:rsidR="00750F18" w:rsidRPr="001C2DF8">
        <w:t>X</w:t>
      </w:r>
      <w:r w:rsidR="001D0864" w:rsidRPr="001C2DF8">
        <w:t xml:space="preserve"> szektor termelékenysége között nincs</w:t>
      </w:r>
      <w:r w:rsidR="00FD521C">
        <w:t xml:space="preserve"> kapcsolat, vagy akár negatív kapcsolat van</w:t>
      </w:r>
      <w:r w:rsidR="00750F18" w:rsidRPr="001C2DF8">
        <w:t xml:space="preserve">, </w:t>
      </w:r>
      <w:r w:rsidR="00FD521C">
        <w:t>amiben annak</w:t>
      </w:r>
      <w:r w:rsidR="00750F18" w:rsidRPr="001C2DF8">
        <w:t xml:space="preserve"> bizonyíté</w:t>
      </w:r>
      <w:r w:rsidR="00501E34" w:rsidRPr="001C2DF8">
        <w:t>kát lát</w:t>
      </w:r>
      <w:r w:rsidR="00FD521C">
        <w:t>ják</w:t>
      </w:r>
      <w:r w:rsidR="00501E34" w:rsidRPr="001C2DF8">
        <w:t>, hogy az ipar</w:t>
      </w:r>
      <w:r w:rsidR="00750F18" w:rsidRPr="001C2DF8">
        <w:t>politika kudarc</w:t>
      </w:r>
      <w:r w:rsidR="00FD521C">
        <w:t>ra van ítélve</w:t>
      </w:r>
      <w:r w:rsidR="00750F18" w:rsidRPr="001C2DF8">
        <w:t xml:space="preserve"> „veszt</w:t>
      </w:r>
      <w:r w:rsidR="00FD521C">
        <w:t>eseket</w:t>
      </w:r>
      <w:r w:rsidR="00750F18" w:rsidRPr="001C2DF8">
        <w:t xml:space="preserve"> </w:t>
      </w:r>
      <w:r w:rsidR="00FD521C">
        <w:t>választja ki</w:t>
      </w:r>
      <w:r w:rsidR="00750F18" w:rsidRPr="001C2DF8">
        <w:t>”</w:t>
      </w:r>
      <w:r w:rsidR="00FD521C">
        <w:t xml:space="preserve"> nem pedig a nyerteseket</w:t>
      </w:r>
      <w:r w:rsidR="00750F18" w:rsidRPr="001C2DF8">
        <w:t xml:space="preserve">. </w:t>
      </w:r>
      <w:r w:rsidR="009B1E86" w:rsidRPr="001C2DF8">
        <w:t>Csakhogy e</w:t>
      </w:r>
      <w:r w:rsidR="00A9597F">
        <w:t xml:space="preserve">zzel </w:t>
      </w:r>
      <w:r w:rsidR="009B1E86" w:rsidRPr="001C2DF8">
        <w:t xml:space="preserve">figyelmen kívül </w:t>
      </w:r>
      <w:r w:rsidR="00A9597F" w:rsidRPr="001C2DF8">
        <w:t>hagyj</w:t>
      </w:r>
      <w:r w:rsidR="00A9597F">
        <w:t>ák</w:t>
      </w:r>
      <w:r w:rsidR="00A9597F" w:rsidRPr="001C2DF8">
        <w:t xml:space="preserve"> </w:t>
      </w:r>
      <w:r w:rsidR="009B1E86" w:rsidRPr="001C2DF8">
        <w:t>azt, hogy a kelet-ázsiai kormányok az acél- és a vegyipar</w:t>
      </w:r>
      <w:r w:rsidR="00A9597F">
        <w:t>hoz</w:t>
      </w:r>
      <w:r w:rsidR="009B1E86" w:rsidRPr="001C2DF8">
        <w:t xml:space="preserve"> hasonló </w:t>
      </w:r>
      <w:r w:rsidR="00A9597F">
        <w:t xml:space="preserve">infrastrukturális ágazatok </w:t>
      </w:r>
      <w:r w:rsidR="009B1E86" w:rsidRPr="001C2DF8">
        <w:t xml:space="preserve">támogatásával elsősorban nem </w:t>
      </w:r>
      <w:r w:rsidR="00F23EBE">
        <w:t>ezen ágazatok</w:t>
      </w:r>
      <w:r w:rsidR="009B1E86" w:rsidRPr="001C2DF8">
        <w:t xml:space="preserve"> termelékenységet akarták növeli, hanem áttéte</w:t>
      </w:r>
      <w:r w:rsidR="005F745B" w:rsidRPr="001C2DF8">
        <w:t xml:space="preserve">lesen, a továbbgyűrűző hatás révén </w:t>
      </w:r>
      <w:r w:rsidR="009B1E86" w:rsidRPr="001C2DF8">
        <w:t xml:space="preserve">ezen ágazatok felhasználóit kívánták támogatni. </w:t>
      </w:r>
      <w:r w:rsidR="008077DD" w:rsidRPr="001C2DF8">
        <w:t xml:space="preserve">    </w:t>
      </w:r>
    </w:p>
    <w:p w:rsidR="009B1E86" w:rsidRPr="001C2DF8" w:rsidRDefault="008077DD" w:rsidP="007B70B2">
      <w:pPr>
        <w:autoSpaceDE w:val="0"/>
        <w:autoSpaceDN w:val="0"/>
        <w:adjustRightInd w:val="0"/>
        <w:jc w:val="both"/>
      </w:pPr>
      <w:r w:rsidRPr="001C2DF8">
        <w:tab/>
        <w:t>A Világbank az első számú népszerűsítőj</w:t>
      </w:r>
      <w:r w:rsidR="009B1E86" w:rsidRPr="001C2DF8">
        <w:t>e annak az elképzelésnek, amely szerint K</w:t>
      </w:r>
      <w:r w:rsidRPr="001C2DF8">
        <w:t>elet-Ázsia azért le</w:t>
      </w:r>
      <w:r w:rsidR="009B1E86" w:rsidRPr="001C2DF8">
        <w:t xml:space="preserve">tt gazdag, mert liberalizálta </w:t>
      </w:r>
      <w:r w:rsidRPr="001C2DF8">
        <w:t>piacait és azt a politikai képletet követte, amelyet később „Wa</w:t>
      </w:r>
      <w:r w:rsidR="009B1E86" w:rsidRPr="001C2DF8">
        <w:t>s</w:t>
      </w:r>
      <w:r w:rsidRPr="001C2DF8">
        <w:t>hington</w:t>
      </w:r>
      <w:r w:rsidR="009B1E86" w:rsidRPr="001C2DF8">
        <w:t>-ko</w:t>
      </w:r>
      <w:r w:rsidRPr="001C2DF8">
        <w:t>nszenzusnak” neveztek</w:t>
      </w:r>
      <w:r w:rsidR="009B1E86" w:rsidRPr="001C2DF8">
        <w:t xml:space="preserve"> el</w:t>
      </w:r>
      <w:r w:rsidRPr="001C2DF8">
        <w:t xml:space="preserve">. </w:t>
      </w:r>
      <w:r w:rsidR="009B1E86" w:rsidRPr="001C2DF8">
        <w:t>„A kelet-ázsiai csodáról” szóló tanulmány a bank kutatási beszámoló</w:t>
      </w:r>
      <w:r w:rsidR="00651A84">
        <w:t>ja</w:t>
      </w:r>
      <w:r w:rsidR="009B1E86" w:rsidRPr="001C2DF8">
        <w:t xml:space="preserve"> volt, ahogyan ez az intézmény szponzorálta Balassáék munkáját is, mialatt maga Balassa de facto a Világbank munkatársa volt (</w:t>
      </w:r>
      <w:r w:rsidR="007D7D38" w:rsidRPr="001C2DF8">
        <w:t xml:space="preserve">tanácsadóként tevékenykedett ott). </w:t>
      </w:r>
      <w:r w:rsidR="00D77BE5" w:rsidRPr="001C2DF8">
        <w:t xml:space="preserve">A Világbank ezen és egyéb </w:t>
      </w:r>
      <w:r w:rsidR="00651A84">
        <w:t>kutatási eredményének</w:t>
      </w:r>
      <w:r w:rsidR="00651A84" w:rsidRPr="001C2DF8">
        <w:t xml:space="preserve"> </w:t>
      </w:r>
      <w:r w:rsidR="00D77BE5" w:rsidRPr="001C2DF8">
        <w:t xml:space="preserve">szemügyre vétele során fontos észben tartunk, hogy </w:t>
      </w:r>
      <w:r w:rsidR="00651A84" w:rsidRPr="001C2DF8">
        <w:t xml:space="preserve">– tetszik, nem tetszik – </w:t>
      </w:r>
      <w:r w:rsidR="00D77BE5" w:rsidRPr="001C2DF8">
        <w:t xml:space="preserve">kutatói </w:t>
      </w:r>
      <w:r w:rsidR="00651A84" w:rsidRPr="00651A84">
        <w:t>arra törekszenek, hogy olyan színben tűntessék fel magukat, mint akik</w:t>
      </w:r>
      <w:r w:rsidR="00D77BE5" w:rsidRPr="001C2DF8">
        <w:t xml:space="preserve"> a szervezet érdekében beszélnek.</w:t>
      </w:r>
      <w:r w:rsidR="00945E0D" w:rsidRPr="001C2DF8">
        <w:rPr>
          <w:rStyle w:val="Lbjegyzet-hivatkozs"/>
        </w:rPr>
        <w:footnoteReference w:id="4"/>
      </w:r>
    </w:p>
    <w:p w:rsidR="008077DD" w:rsidRPr="001C2DF8" w:rsidRDefault="00D77BE5" w:rsidP="007B70B2">
      <w:pPr>
        <w:autoSpaceDE w:val="0"/>
        <w:autoSpaceDN w:val="0"/>
        <w:adjustRightInd w:val="0"/>
        <w:ind w:firstLine="708"/>
        <w:jc w:val="both"/>
      </w:pPr>
      <w:r w:rsidRPr="001C2DF8">
        <w:t>Mindazonáltal a „c</w:t>
      </w:r>
      <w:r w:rsidR="008077DD" w:rsidRPr="001C2DF8">
        <w:t>soda</w:t>
      </w:r>
      <w:r w:rsidRPr="001C2DF8">
        <w:t>-</w:t>
      </w:r>
      <w:r w:rsidR="008077DD" w:rsidRPr="001C2DF8">
        <w:t xml:space="preserve">tanulmánynak” </w:t>
      </w:r>
      <w:r w:rsidR="007D7D38" w:rsidRPr="001C2DF8">
        <w:t>érdeme is akad:</w:t>
      </w:r>
      <w:r w:rsidRPr="001C2DF8">
        <w:t xml:space="preserve"> szerzői elismerik, hogy a felsorakoztatott bizonyíték</w:t>
      </w:r>
      <w:r w:rsidR="00961B3F" w:rsidRPr="001C2DF8">
        <w:t>ok nem elégségesek a</w:t>
      </w:r>
      <w:r w:rsidRPr="001C2DF8">
        <w:t xml:space="preserve"> </w:t>
      </w:r>
      <w:r w:rsidR="00961B3F" w:rsidRPr="001C2DF8">
        <w:t xml:space="preserve">következtetések levonásához. </w:t>
      </w:r>
      <w:r w:rsidRPr="001C2DF8">
        <w:t>„…N</w:t>
      </w:r>
      <w:r w:rsidR="008077DD" w:rsidRPr="001C2DF8">
        <w:t xml:space="preserve">em </w:t>
      </w:r>
      <w:r w:rsidR="008077DD" w:rsidRPr="001C2DF8">
        <w:lastRenderedPageBreak/>
        <w:t xml:space="preserve">tudunk </w:t>
      </w:r>
      <w:r w:rsidR="00464431">
        <w:t>szigorú kontrafaktuális</w:t>
      </w:r>
      <w:r w:rsidR="003074AC" w:rsidRPr="001C2DF8">
        <w:t xml:space="preserve"> </w:t>
      </w:r>
      <w:r w:rsidR="008077DD" w:rsidRPr="001C2DF8">
        <w:t>forgatókönyvvel szolgá</w:t>
      </w:r>
      <w:r w:rsidR="00F34B88" w:rsidRPr="001C2DF8">
        <w:t>lni. Ehelyett be kell érnünk…</w:t>
      </w:r>
      <w:r w:rsidR="008077DD" w:rsidRPr="001C2DF8">
        <w:t xml:space="preserve">analitikus és empirikus ítéletekkel.” (1993:6)         </w:t>
      </w:r>
    </w:p>
    <w:p w:rsidR="005F745B" w:rsidRPr="001C2DF8" w:rsidRDefault="005F745B" w:rsidP="007B70B2">
      <w:pPr>
        <w:autoSpaceDE w:val="0"/>
        <w:autoSpaceDN w:val="0"/>
        <w:adjustRightInd w:val="0"/>
        <w:ind w:firstLine="708"/>
        <w:jc w:val="both"/>
      </w:pPr>
    </w:p>
    <w:p w:rsidR="00961B3F" w:rsidRPr="001C2DF8" w:rsidRDefault="00501E34" w:rsidP="007B70B2">
      <w:pPr>
        <w:autoSpaceDE w:val="0"/>
        <w:autoSpaceDN w:val="0"/>
        <w:adjustRightInd w:val="0"/>
        <w:jc w:val="both"/>
      </w:pPr>
      <w:r w:rsidRPr="001C2DF8">
        <w:rPr>
          <w:b/>
        </w:rPr>
        <w:t>A kelet-ázsiai ipar</w:t>
      </w:r>
      <w:r w:rsidR="00961B3F" w:rsidRPr="001C2DF8">
        <w:rPr>
          <w:b/>
        </w:rPr>
        <w:t xml:space="preserve">politika - közelebbről nézve </w:t>
      </w:r>
    </w:p>
    <w:p w:rsidR="00100B58" w:rsidRDefault="00100B58" w:rsidP="007B70B2">
      <w:pPr>
        <w:autoSpaceDE w:val="0"/>
        <w:autoSpaceDN w:val="0"/>
        <w:adjustRightInd w:val="0"/>
        <w:jc w:val="both"/>
      </w:pPr>
    </w:p>
    <w:p w:rsidR="00961B3F" w:rsidRPr="00100B58" w:rsidRDefault="00961B3F" w:rsidP="007B70B2">
      <w:pPr>
        <w:autoSpaceDE w:val="0"/>
        <w:autoSpaceDN w:val="0"/>
        <w:adjustRightInd w:val="0"/>
        <w:jc w:val="both"/>
        <w:rPr>
          <w:i/>
        </w:rPr>
      </w:pPr>
      <w:r w:rsidRPr="00100B58">
        <w:rPr>
          <w:i/>
        </w:rPr>
        <w:t xml:space="preserve">A felzárkózás szakasza </w:t>
      </w:r>
    </w:p>
    <w:p w:rsidR="00961B3F" w:rsidRPr="001C2DF8" w:rsidRDefault="00961B3F" w:rsidP="007B70B2">
      <w:pPr>
        <w:autoSpaceDE w:val="0"/>
        <w:autoSpaceDN w:val="0"/>
        <w:adjustRightInd w:val="0"/>
        <w:jc w:val="both"/>
      </w:pPr>
    </w:p>
    <w:p w:rsidR="001B7FDB" w:rsidRPr="001C2DF8" w:rsidRDefault="00961B3F" w:rsidP="007B70B2">
      <w:pPr>
        <w:autoSpaceDE w:val="0"/>
        <w:autoSpaceDN w:val="0"/>
        <w:adjustRightInd w:val="0"/>
        <w:jc w:val="both"/>
      </w:pPr>
      <w:r w:rsidRPr="001C2DF8">
        <w:tab/>
      </w:r>
      <w:r w:rsidR="00501E34" w:rsidRPr="001C2DF8">
        <w:t>Az ipar</w:t>
      </w:r>
      <w:r w:rsidRPr="001C2DF8">
        <w:t xml:space="preserve">politikáról való előremutató gondolkodás feltétele az, hogy </w:t>
      </w:r>
      <w:r w:rsidR="00E30306" w:rsidRPr="001C2DF8">
        <w:t xml:space="preserve">legalább </w:t>
      </w:r>
      <w:r w:rsidRPr="001C2DF8">
        <w:t>három típusa között különbséget tegyünk. Az első, a</w:t>
      </w:r>
      <w:r w:rsidR="00A91013">
        <w:t>z átfogó</w:t>
      </w:r>
      <w:r w:rsidRPr="001C2DF8">
        <w:t xml:space="preserve"> </w:t>
      </w:r>
      <w:r w:rsidR="00E30306" w:rsidRPr="001C2DF8">
        <w:t xml:space="preserve">„funkcionális” politikák csoportja, amely magába foglalja </w:t>
      </w:r>
      <w:r w:rsidRPr="001C2DF8">
        <w:t>az árfolyam-politik</w:t>
      </w:r>
      <w:r w:rsidR="00E30306" w:rsidRPr="001C2DF8">
        <w:t>át, a makroökonómiai egyensúlyt és</w:t>
      </w:r>
      <w:r w:rsidRPr="001C2DF8">
        <w:t xml:space="preserve"> a versenypolitikát (ideértve a védelem átlagos szint</w:t>
      </w:r>
      <w:r w:rsidR="00E30306" w:rsidRPr="001C2DF8">
        <w:t>j</w:t>
      </w:r>
      <w:r w:rsidRPr="001C2DF8">
        <w:t>ét</w:t>
      </w:r>
      <w:r w:rsidR="00E30306" w:rsidRPr="001C2DF8">
        <w:t xml:space="preserve"> is</w:t>
      </w:r>
      <w:r w:rsidRPr="001C2DF8">
        <w:t>).</w:t>
      </w:r>
      <w:r w:rsidR="00E30306" w:rsidRPr="001C2DF8">
        <w:t xml:space="preserve"> A második, az ágatokon átívelő </w:t>
      </w:r>
      <w:r w:rsidRPr="001C2DF8">
        <w:t>„horizontális</w:t>
      </w:r>
      <w:r w:rsidR="00E30306" w:rsidRPr="001C2DF8">
        <w:t>”</w:t>
      </w:r>
      <w:r w:rsidRPr="001C2DF8">
        <w:t xml:space="preserve"> politikák</w:t>
      </w:r>
      <w:r w:rsidR="00E30306" w:rsidRPr="001C2DF8">
        <w:t xml:space="preserve"> csoportja</w:t>
      </w:r>
      <w:r w:rsidRPr="001C2DF8">
        <w:t>, amely a</w:t>
      </w:r>
      <w:r w:rsidR="00A91013">
        <w:t xml:space="preserve"> K+F fejlesztését</w:t>
      </w:r>
      <w:r w:rsidR="001B7FDB" w:rsidRPr="001C2DF8">
        <w:rPr>
          <w:rStyle w:val="Kiemels"/>
          <w:color w:val="000000"/>
        </w:rPr>
        <w:t xml:space="preserve">, </w:t>
      </w:r>
      <w:r w:rsidRPr="001C2DF8">
        <w:t xml:space="preserve">a kis- és középvállalkozások támogatását, </w:t>
      </w:r>
      <w:r w:rsidR="00E30306" w:rsidRPr="001C2DF8">
        <w:t xml:space="preserve">valamint </w:t>
      </w:r>
      <w:r w:rsidRPr="001C2DF8">
        <w:t>a</w:t>
      </w:r>
      <w:r w:rsidR="00A91013">
        <w:t>z</w:t>
      </w:r>
      <w:r w:rsidRPr="001C2DF8">
        <w:t xml:space="preserve"> </w:t>
      </w:r>
      <w:r w:rsidR="00E30306" w:rsidRPr="001C2DF8">
        <w:rPr>
          <w:b/>
        </w:rPr>
        <w:t>infrastruktúrába</w:t>
      </w:r>
      <w:r w:rsidR="00E30306" w:rsidRPr="001C2DF8">
        <w:t xml:space="preserve"> való befektetéseket és</w:t>
      </w:r>
      <w:r w:rsidR="001B7FDB" w:rsidRPr="001C2DF8">
        <w:t xml:space="preserve"> ezekh</w:t>
      </w:r>
      <w:r w:rsidR="00E30306" w:rsidRPr="001C2DF8">
        <w:t xml:space="preserve">ez hasonló intézkedéseket jelent. </w:t>
      </w:r>
      <w:r w:rsidRPr="001C2DF8">
        <w:t xml:space="preserve">A harmadik, az </w:t>
      </w:r>
      <w:r w:rsidR="001B7FDB" w:rsidRPr="001C2DF8">
        <w:t>„</w:t>
      </w:r>
      <w:r w:rsidRPr="001C2DF8">
        <w:t>ágazati</w:t>
      </w:r>
      <w:r w:rsidR="001B7FDB" w:rsidRPr="001C2DF8">
        <w:t>”</w:t>
      </w:r>
      <w:r w:rsidRPr="001C2DF8">
        <w:t xml:space="preserve"> politikák</w:t>
      </w:r>
      <w:r w:rsidR="001B7FDB" w:rsidRPr="001C2DF8">
        <w:t xml:space="preserve"> csoportja, amely</w:t>
      </w:r>
      <w:r w:rsidRPr="001C2DF8">
        <w:t xml:space="preserve"> a </w:t>
      </w:r>
      <w:r w:rsidR="00A91013">
        <w:t>kiemelt</w:t>
      </w:r>
      <w:r w:rsidR="00A91013" w:rsidRPr="001C2DF8">
        <w:t xml:space="preserve"> </w:t>
      </w:r>
      <w:r w:rsidRPr="001C2DF8">
        <w:t>szektorokat</w:t>
      </w:r>
      <w:r w:rsidR="001B7FDB" w:rsidRPr="001C2DF8">
        <w:t>,</w:t>
      </w:r>
      <w:r w:rsidRPr="001C2DF8">
        <w:t xml:space="preserve"> alszektorokat vagy cégeket (</w:t>
      </w:r>
      <w:r w:rsidR="001B7FDB" w:rsidRPr="001C2DF8">
        <w:t xml:space="preserve">például a malajziai </w:t>
      </w:r>
      <w:r w:rsidRPr="001C2DF8">
        <w:t>Proton autógyár</w:t>
      </w:r>
      <w:r w:rsidR="001B7FDB" w:rsidRPr="001C2DF8">
        <w:t>) támogatását fogalja magába</w:t>
      </w:r>
      <w:r w:rsidR="000E75AB">
        <w:t xml:space="preserve"> (</w:t>
      </w:r>
      <w:r w:rsidR="000E75AB" w:rsidRPr="0082043C">
        <w:t xml:space="preserve">Hálával tartozom </w:t>
      </w:r>
      <w:r w:rsidR="000E75AB">
        <w:t>e cikkért:</w:t>
      </w:r>
      <w:r w:rsidR="000E75AB" w:rsidRPr="0082043C">
        <w:t xml:space="preserve"> Barnes, Kaplinsky </w:t>
      </w:r>
      <w:r w:rsidR="000E75AB">
        <w:t>és Morris, 2004</w:t>
      </w:r>
      <w:r w:rsidR="000E75AB" w:rsidRPr="0082043C">
        <w:t>)</w:t>
      </w:r>
      <w:r w:rsidR="001B7FDB" w:rsidRPr="001C2DF8">
        <w:t>.</w:t>
      </w:r>
    </w:p>
    <w:p w:rsidR="00A04CAD" w:rsidRPr="001C2DF8" w:rsidRDefault="001B7FDB" w:rsidP="007B70B2">
      <w:pPr>
        <w:autoSpaceDE w:val="0"/>
        <w:autoSpaceDN w:val="0"/>
        <w:adjustRightInd w:val="0"/>
        <w:jc w:val="both"/>
      </w:pPr>
      <w:r w:rsidRPr="001C2DF8">
        <w:t xml:space="preserve"> </w:t>
      </w:r>
      <w:r w:rsidRPr="001C2DF8">
        <w:tab/>
        <w:t xml:space="preserve">A </w:t>
      </w:r>
      <w:r w:rsidR="00961B3F" w:rsidRPr="001C2DF8">
        <w:t>legtöbb kétséget az utóbbi</w:t>
      </w:r>
      <w:r w:rsidRPr="001C2DF8">
        <w:t xml:space="preserve"> csoport</w:t>
      </w:r>
      <w:r w:rsidR="00961B3F" w:rsidRPr="001C2DF8">
        <w:t xml:space="preserve"> </w:t>
      </w:r>
      <w:r w:rsidR="005F745B" w:rsidRPr="001C2DF8">
        <w:t xml:space="preserve">kelti </w:t>
      </w:r>
      <w:r w:rsidR="00961B3F" w:rsidRPr="001C2DF8">
        <w:t>–</w:t>
      </w:r>
      <w:r w:rsidR="005F745B" w:rsidRPr="001C2DF8">
        <w:t xml:space="preserve"> hiszen felmerül a kérdés, hogy</w:t>
      </w:r>
      <w:r w:rsidR="00961B3F" w:rsidRPr="001C2DF8">
        <w:t xml:space="preserve"> valóban számított</w:t>
      </w:r>
      <w:r w:rsidRPr="001C2DF8">
        <w:t>-e Ke</w:t>
      </w:r>
      <w:r w:rsidR="00961B3F" w:rsidRPr="001C2DF8">
        <w:t>let-Ázsiában</w:t>
      </w:r>
      <w:r w:rsidRPr="001C2DF8">
        <w:t xml:space="preserve"> az ágazati politika</w:t>
      </w:r>
      <w:r w:rsidR="00961B3F" w:rsidRPr="001C2DF8">
        <w:t xml:space="preserve"> és működőképes</w:t>
      </w:r>
      <w:r w:rsidRPr="001C2DF8">
        <w:t xml:space="preserve"> lehet</w:t>
      </w:r>
      <w:r w:rsidR="00961B3F" w:rsidRPr="001C2DF8">
        <w:t xml:space="preserve">-e máshol? </w:t>
      </w:r>
      <w:r w:rsidRPr="001C2DF8">
        <w:t xml:space="preserve">Mindenki számára világos lehet, hogy az ágazati politika hatásait nehéz megkülönböztetni a másik két csoportétól, hiszen e három kölcsönösen támogatja egymást. </w:t>
      </w:r>
    </w:p>
    <w:p w:rsidR="005F745B" w:rsidRPr="001C2DF8" w:rsidRDefault="00501E34" w:rsidP="00910D21">
      <w:pPr>
        <w:autoSpaceDE w:val="0"/>
        <w:autoSpaceDN w:val="0"/>
        <w:adjustRightInd w:val="0"/>
        <w:ind w:firstLine="708"/>
        <w:jc w:val="both"/>
        <w:rPr>
          <w:b/>
        </w:rPr>
      </w:pPr>
      <w:r w:rsidRPr="001C2DF8">
        <w:t>Az ipar</w:t>
      </w:r>
      <w:r w:rsidR="001B7FDB" w:rsidRPr="001C2DF8">
        <w:t>politika</w:t>
      </w:r>
      <w:r w:rsidR="00BC2F8D" w:rsidRPr="001C2DF8">
        <w:t xml:space="preserve"> </w:t>
      </w:r>
      <w:r w:rsidR="00FE50AA" w:rsidRPr="001C2DF8">
        <w:t xml:space="preserve">nyertesei </w:t>
      </w:r>
      <w:r w:rsidR="001B7FDB" w:rsidRPr="001C2DF8">
        <w:t xml:space="preserve">sem állíthatják magukról, hogy </w:t>
      </w:r>
      <w:r w:rsidR="00BC2F8D" w:rsidRPr="001C2DF8">
        <w:t>az ágazati politikák</w:t>
      </w:r>
      <w:r w:rsidR="001B7FDB" w:rsidRPr="001C2DF8">
        <w:t xml:space="preserve"> a másik két csoport elégtelen működése mellett is hatásos</w:t>
      </w:r>
      <w:r w:rsidR="00BC2F8D" w:rsidRPr="001C2DF8">
        <w:t>ak</w:t>
      </w:r>
      <w:r w:rsidR="001B7FDB" w:rsidRPr="001C2DF8">
        <w:t xml:space="preserve"> lehet</w:t>
      </w:r>
      <w:r w:rsidR="00BC2F8D" w:rsidRPr="001C2DF8">
        <w:t>nek</w:t>
      </w:r>
      <w:r w:rsidR="001B7FDB" w:rsidRPr="001C2DF8">
        <w:t>.</w:t>
      </w:r>
      <w:r w:rsidR="00A04CAD" w:rsidRPr="001C2DF8">
        <w:t xml:space="preserve"> Az ágazati politikák hatásainak bizonyítása során olyan problémákba ütközünk, mint amilyen mondjuk „a petrolkémiai ipar tíz éves fejlesztési tervének” feltárása. </w:t>
      </w:r>
      <w:r w:rsidR="00FE50AA" w:rsidRPr="001C2DF8">
        <w:t xml:space="preserve">Ugyanis nincsen rálátásunk azokra az </w:t>
      </w:r>
      <w:r w:rsidR="00BC2F8D" w:rsidRPr="001C2DF8">
        <w:t>összehangolt</w:t>
      </w:r>
      <w:r w:rsidR="00FE50AA" w:rsidRPr="001C2DF8">
        <w:t>,</w:t>
      </w:r>
      <w:r w:rsidR="00BC2F8D" w:rsidRPr="001C2DF8">
        <w:t xml:space="preserve"> érzékelhető, ám mégis láthatatlan tevékenység</w:t>
      </w:r>
      <w:r w:rsidR="00FE50AA" w:rsidRPr="001C2DF8">
        <w:t>ekre</w:t>
      </w:r>
      <w:r w:rsidR="00BC2F8D" w:rsidRPr="001C2DF8">
        <w:t>, amely</w:t>
      </w:r>
      <w:r w:rsidR="00FE50AA" w:rsidRPr="001C2DF8">
        <w:t>ek különösebb költségráfordítást ugyan nem igényéltek, összességében valószínűleg mégis jelentős szerepet játszottak abban, hogy a kelet-ázsiai cégek technológiai és termelési kapacitásának átlagos szintje növekedett.</w:t>
      </w:r>
    </w:p>
    <w:p w:rsidR="00A3592E" w:rsidRPr="001C2DF8" w:rsidRDefault="00F34A13" w:rsidP="007B70B2">
      <w:pPr>
        <w:autoSpaceDE w:val="0"/>
        <w:autoSpaceDN w:val="0"/>
        <w:adjustRightInd w:val="0"/>
        <w:ind w:firstLine="708"/>
        <w:jc w:val="both"/>
      </w:pPr>
      <w:r w:rsidRPr="001C2DF8">
        <w:t xml:space="preserve">Tajvan például olyan </w:t>
      </w:r>
      <w:r w:rsidR="00961B3F" w:rsidRPr="001C2DF8">
        <w:t>Ipari Fejlesztési Hivatallal rendelkezett (IFH</w:t>
      </w:r>
      <w:r w:rsidRPr="001C2DF8">
        <w:t>) a</w:t>
      </w:r>
      <w:r w:rsidR="00961B3F" w:rsidRPr="001C2DF8">
        <w:t xml:space="preserve"> nyolcvanas években</w:t>
      </w:r>
      <w:r w:rsidRPr="001C2DF8">
        <w:t>, amely</w:t>
      </w:r>
      <w:r w:rsidR="00961B3F" w:rsidRPr="001C2DF8">
        <w:t xml:space="preserve"> közel </w:t>
      </w:r>
      <w:r w:rsidRPr="001C2DF8">
        <w:t xml:space="preserve">kétszáz mérnököt, </w:t>
      </w:r>
      <w:r w:rsidR="00961B3F" w:rsidRPr="001C2DF8">
        <w:t xml:space="preserve">szakembert és számtalan </w:t>
      </w:r>
      <w:r w:rsidRPr="001C2DF8">
        <w:t xml:space="preserve">közgazdászt </w:t>
      </w:r>
      <w:r w:rsidR="00961B3F" w:rsidRPr="001C2DF8">
        <w:t xml:space="preserve">foglalkoztatott. </w:t>
      </w:r>
      <w:r w:rsidRPr="001C2DF8">
        <w:t>A munka javarész</w:t>
      </w:r>
      <w:r w:rsidR="00A91013">
        <w:t>e</w:t>
      </w:r>
      <w:r w:rsidRPr="001C2DF8">
        <w:t xml:space="preserve"> input-output láncok </w:t>
      </w:r>
      <w:r w:rsidR="00A91013">
        <w:t>köré szerveződött</w:t>
      </w:r>
      <w:r w:rsidRPr="001C2DF8">
        <w:t>. Azok a szakértők, akik e láncban például az üvegre szakosodtak, az üvegimportot</w:t>
      </w:r>
      <w:r w:rsidR="00661E9D">
        <w:t>,</w:t>
      </w:r>
      <w:r w:rsidRPr="001C2DF8">
        <w:t xml:space="preserve"> a felvásárlókat és a tajvani üveggyártás termelőképességét </w:t>
      </w:r>
      <w:r w:rsidR="00661E9D">
        <w:t>monitorozták</w:t>
      </w:r>
      <w:r w:rsidRPr="001C2DF8">
        <w:t xml:space="preserve">. </w:t>
      </w:r>
      <w:r w:rsidR="00A3592E" w:rsidRPr="001C2DF8">
        <w:t>Munkájuk részeként, egy hónapban</w:t>
      </w:r>
      <w:r w:rsidRPr="001C2DF8">
        <w:t xml:space="preserve"> </w:t>
      </w:r>
      <w:r w:rsidR="00A3592E" w:rsidRPr="001C2DF8">
        <w:t xml:space="preserve">több napot töltöttek azzal, hogy az ágazatukhoz tartozó vállalatoknál látogatást tegyenek. E vizitek és vizsgálatok célja az volt, hogy megtalálják az import kiváltásának lehetőségeit, </w:t>
      </w:r>
      <w:r w:rsidR="00661E9D">
        <w:t xml:space="preserve">és </w:t>
      </w:r>
      <w:r w:rsidR="00961B3F" w:rsidRPr="001C2DF8">
        <w:t>hogy népszerűsítsék</w:t>
      </w:r>
      <w:r w:rsidR="00A3592E" w:rsidRPr="001C2DF8">
        <w:t xml:space="preserve"> a kivitelt. Amennyiben úgy találták, hogy a hazai ellátás árban és minőségben megfelel az importénak, akkor </w:t>
      </w:r>
      <w:r w:rsidR="00961B3F" w:rsidRPr="001C2DF8">
        <w:t>különf</w:t>
      </w:r>
      <w:r w:rsidR="00A3592E" w:rsidRPr="001C2DF8">
        <w:t>éle közigazgatási módszerekk</w:t>
      </w:r>
      <w:r w:rsidR="00961B3F" w:rsidRPr="001C2DF8">
        <w:t>el</w:t>
      </w:r>
      <w:r w:rsidR="00A3592E" w:rsidRPr="001C2DF8">
        <w:t xml:space="preserve"> arra „biztatt</w:t>
      </w:r>
      <w:r w:rsidR="00961B3F" w:rsidRPr="001C2DF8">
        <w:t>ák” a nagy felvásárlókat, hogy az i</w:t>
      </w:r>
      <w:r w:rsidR="00A3592E" w:rsidRPr="001C2DF8">
        <w:t xml:space="preserve">mport helyett a helyi forrásokat válasszák, s tartós ellátási szerződéseket és némi technikai segítséget ajánlottak fel nekik.  </w:t>
      </w:r>
    </w:p>
    <w:p w:rsidR="00211FCE" w:rsidRPr="001C2DF8" w:rsidRDefault="00A3592E" w:rsidP="007B70B2">
      <w:pPr>
        <w:autoSpaceDE w:val="0"/>
        <w:autoSpaceDN w:val="0"/>
        <w:adjustRightInd w:val="0"/>
        <w:ind w:firstLine="708"/>
        <w:jc w:val="both"/>
      </w:pPr>
      <w:r w:rsidRPr="001C2DF8">
        <w:t xml:space="preserve">A transznacionális cég, a Philips </w:t>
      </w:r>
      <w:r w:rsidR="00211FCE" w:rsidRPr="001C2DF8">
        <w:t xml:space="preserve">például </w:t>
      </w:r>
      <w:r w:rsidRPr="001C2DF8">
        <w:t>elsősorban</w:t>
      </w:r>
      <w:r w:rsidR="005F745B" w:rsidRPr="001C2DF8">
        <w:t xml:space="preserve"> különleges üveget importált, amelyre</w:t>
      </w:r>
      <w:r w:rsidRPr="001C2DF8">
        <w:t xml:space="preserve"> </w:t>
      </w:r>
      <w:r w:rsidR="00392F56" w:rsidRPr="001C2DF8">
        <w:t xml:space="preserve">televízióihoz </w:t>
      </w:r>
      <w:r w:rsidR="005F745B" w:rsidRPr="001C2DF8">
        <w:t>volt szüksége</w:t>
      </w:r>
      <w:r w:rsidR="00211FCE" w:rsidRPr="001C2DF8">
        <w:t>. A céget az IFH t</w:t>
      </w:r>
      <w:r w:rsidR="00961B3F" w:rsidRPr="001C2DF8">
        <w:t>isztségviselői tájékoztatták az át</w:t>
      </w:r>
      <w:r w:rsidR="00211FCE" w:rsidRPr="001C2DF8">
        <w:t>állás lehetőségéről, s azt is</w:t>
      </w:r>
      <w:r w:rsidR="00961B3F" w:rsidRPr="001C2DF8">
        <w:t xml:space="preserve"> jelezték</w:t>
      </w:r>
      <w:r w:rsidR="005F745B" w:rsidRPr="001C2DF8">
        <w:t xml:space="preserve"> felé</w:t>
      </w:r>
      <w:r w:rsidR="00211FCE" w:rsidRPr="001C2DF8">
        <w:t xml:space="preserve">, </w:t>
      </w:r>
      <w:r w:rsidR="00961B3F" w:rsidRPr="001C2DF8">
        <w:t xml:space="preserve">hogy </w:t>
      </w:r>
      <w:r w:rsidR="005F745B" w:rsidRPr="001C2DF8">
        <w:t>ha a Philips megtalálja a váltás</w:t>
      </w:r>
      <w:r w:rsidR="00211FCE" w:rsidRPr="001C2DF8">
        <w:t xml:space="preserve"> módját, akkor ennek fejében egyebet is </w:t>
      </w:r>
      <w:r w:rsidR="00392F56" w:rsidRPr="001C2DF8">
        <w:t>k</w:t>
      </w:r>
      <w:r w:rsidR="00211FCE" w:rsidRPr="001C2DF8">
        <w:t>érhet tőlük. A Philips nemet mondott. A</w:t>
      </w:r>
      <w:r w:rsidR="005F745B" w:rsidRPr="001C2DF8">
        <w:t xml:space="preserve"> cég azt követően azt tapasztal</w:t>
      </w:r>
      <w:r w:rsidR="00211FCE" w:rsidRPr="001C2DF8">
        <w:t>ta, hogy különleges üvegének import-kérelmei egyre</w:t>
      </w:r>
      <w:r w:rsidR="005F745B" w:rsidRPr="001C2DF8">
        <w:t xml:space="preserve"> inkább késedelmesen intéződnek</w:t>
      </w:r>
      <w:r w:rsidR="00211FCE" w:rsidRPr="001C2DF8">
        <w:t xml:space="preserve"> annak ellenére, hogy azokat azelőtt határidőre garantálták. </w:t>
      </w:r>
      <w:r w:rsidR="00961B3F" w:rsidRPr="001C2DF8">
        <w:t>A Philips tiltakozott a miniszternél, aki látványosan elnézést kért, majd ígéretet tett arra, ho</w:t>
      </w:r>
      <w:r w:rsidR="00211FCE" w:rsidRPr="001C2DF8">
        <w:t>gy utánanéz az ügynek. A késedelmek</w:t>
      </w:r>
      <w:r w:rsidR="00961B3F" w:rsidRPr="001C2DF8">
        <w:t xml:space="preserve"> m</w:t>
      </w:r>
      <w:r w:rsidR="00211FCE" w:rsidRPr="001C2DF8">
        <w:t>égsem szűntek meg.</w:t>
      </w:r>
      <w:r w:rsidR="00961B3F" w:rsidRPr="001C2DF8">
        <w:t xml:space="preserve"> A Philips végül </w:t>
      </w:r>
      <w:r w:rsidR="00211FCE" w:rsidRPr="001C2DF8">
        <w:t>megértette az üzenetet és megtalálta az átállás módját</w:t>
      </w:r>
      <w:r w:rsidR="00961B3F" w:rsidRPr="001C2DF8">
        <w:t>.</w:t>
      </w:r>
      <w:r w:rsidR="00211FCE" w:rsidRPr="001C2DF8">
        <w:t xml:space="preserve"> A hazai ellátók</w:t>
      </w:r>
      <w:r w:rsidR="005F745B" w:rsidRPr="001C2DF8">
        <w:t xml:space="preserve"> pedig vállalták a befektetések költségeit</w:t>
      </w:r>
      <w:r w:rsidR="00211FCE" w:rsidRPr="001C2DF8">
        <w:t xml:space="preserve"> annak érdekében, hogy a kívánt minőséget elő tudják állítani, s nem sokkal később már abba a helyzetbe kerültek, hogy maguk is exportáljanak</w:t>
      </w:r>
      <w:r w:rsidR="000E75AB">
        <w:t xml:space="preserve"> (</w:t>
      </w:r>
      <w:r w:rsidR="000E75AB" w:rsidRPr="0082043C">
        <w:t>Wade</w:t>
      </w:r>
      <w:r w:rsidR="000E75AB">
        <w:t>, 2004</w:t>
      </w:r>
      <w:r w:rsidR="000E75AB" w:rsidRPr="0082043C">
        <w:t>)</w:t>
      </w:r>
      <w:r w:rsidR="00211FCE" w:rsidRPr="001C2DF8">
        <w:t xml:space="preserve">.   </w:t>
      </w:r>
      <w:r w:rsidR="00961B3F" w:rsidRPr="001C2DF8">
        <w:t xml:space="preserve"> </w:t>
      </w:r>
    </w:p>
    <w:p w:rsidR="00B37259" w:rsidRPr="001C2DF8" w:rsidRDefault="005F745B" w:rsidP="007B70B2">
      <w:pPr>
        <w:autoSpaceDE w:val="0"/>
        <w:autoSpaceDN w:val="0"/>
        <w:adjustRightInd w:val="0"/>
        <w:ind w:firstLine="708"/>
        <w:jc w:val="both"/>
      </w:pPr>
      <w:r w:rsidRPr="001C2DF8">
        <w:lastRenderedPageBreak/>
        <w:t xml:space="preserve">Meghatározó jelentősége van annak, hogy </w:t>
      </w:r>
      <w:r w:rsidR="00661E9D" w:rsidRPr="001C2DF8">
        <w:t xml:space="preserve">Tajvanon számtalan ágazatban és több évtizeden át </w:t>
      </w:r>
      <w:r w:rsidR="00661E9D">
        <w:t>eseti alapon</w:t>
      </w:r>
      <w:r w:rsidR="00661E9D" w:rsidRPr="001C2DF8" w:rsidDel="00661E9D">
        <w:t xml:space="preserve"> </w:t>
      </w:r>
      <w:r w:rsidR="00661E9D">
        <w:t>ösztönözték</w:t>
      </w:r>
      <w:r w:rsidR="00661E9D" w:rsidRPr="001C2DF8">
        <w:t xml:space="preserve"> </w:t>
      </w:r>
      <w:r w:rsidR="00CD51CC" w:rsidRPr="001C2DF8">
        <w:t>a transznacionális és a hazai vállalatok</w:t>
      </w:r>
      <w:r w:rsidR="00661E9D">
        <w:t xml:space="preserve">at </w:t>
      </w:r>
      <w:r w:rsidR="00661E9D" w:rsidRPr="001C2DF8">
        <w:t xml:space="preserve">magas hozzáadott érték </w:t>
      </w:r>
      <w:r w:rsidR="00661E9D">
        <w:t>elő</w:t>
      </w:r>
      <w:r w:rsidR="00661E9D" w:rsidRPr="001C2DF8">
        <w:t>állít</w:t>
      </w:r>
      <w:r w:rsidR="00661E9D">
        <w:t>ására,</w:t>
      </w:r>
      <w:r w:rsidR="00661E9D" w:rsidRPr="001C2DF8">
        <w:t xml:space="preserve"> valamint</w:t>
      </w:r>
      <w:r w:rsidR="00661E9D">
        <w:t xml:space="preserve"> </w:t>
      </w:r>
      <w:r w:rsidR="00CD51CC" w:rsidRPr="001C2DF8">
        <w:t>a belső ellátó rendszerek kiépítésére</w:t>
      </w:r>
      <w:r w:rsidR="00661E9D">
        <w:t xml:space="preserve">. </w:t>
      </w:r>
      <w:r w:rsidR="00C06D56" w:rsidRPr="001C2DF8">
        <w:t xml:space="preserve">Mindehhez </w:t>
      </w:r>
      <w:r w:rsidR="00DF1437" w:rsidRPr="001C2DF8">
        <w:t xml:space="preserve">a következőkre volt szükség: </w:t>
      </w:r>
      <w:r w:rsidR="00C06D56" w:rsidRPr="001C2DF8">
        <w:t xml:space="preserve">egy (még csak nem is </w:t>
      </w:r>
      <w:r w:rsidR="00961B3F" w:rsidRPr="001C2DF8">
        <w:t>különösebben nagy</w:t>
      </w:r>
      <w:r w:rsidR="00C06D56" w:rsidRPr="001C2DF8">
        <w:t xml:space="preserve"> létszámú</w:t>
      </w:r>
      <w:r w:rsidR="00961B3F" w:rsidRPr="001C2DF8">
        <w:t>) csapat őszinte</w:t>
      </w:r>
      <w:r w:rsidR="00C06D56" w:rsidRPr="001C2DF8">
        <w:t>,</w:t>
      </w:r>
      <w:r w:rsidR="00961B3F" w:rsidRPr="001C2DF8">
        <w:t xml:space="preserve"> pénzügyileg és </w:t>
      </w:r>
      <w:r w:rsidR="00C06D56" w:rsidRPr="001C2DF8">
        <w:t xml:space="preserve">műszakilag </w:t>
      </w:r>
      <w:r w:rsidR="00961B3F" w:rsidRPr="001C2DF8">
        <w:t>képzett köztisztviselőre</w:t>
      </w:r>
      <w:r w:rsidRPr="001C2DF8">
        <w:t xml:space="preserve">, </w:t>
      </w:r>
      <w:r w:rsidR="00961B3F" w:rsidRPr="001C2DF8">
        <w:t xml:space="preserve">egy sor </w:t>
      </w:r>
      <w:r w:rsidR="00100B58" w:rsidRPr="001C2DF8">
        <w:t xml:space="preserve">a kereskedelem </w:t>
      </w:r>
      <w:r w:rsidR="00100B58">
        <w:t>irányítására</w:t>
      </w:r>
      <w:r w:rsidR="00100B58" w:rsidRPr="001C2DF8">
        <w:t xml:space="preserve"> </w:t>
      </w:r>
      <w:r w:rsidR="00C06D56" w:rsidRPr="001C2DF8">
        <w:t xml:space="preserve">alkalmas </w:t>
      </w:r>
      <w:r w:rsidR="00961B3F" w:rsidRPr="001C2DF8">
        <w:t>eszközre</w:t>
      </w:r>
      <w:r w:rsidR="00100B58">
        <w:t xml:space="preserve"> </w:t>
      </w:r>
      <w:r w:rsidR="00961B3F" w:rsidRPr="001C2DF8">
        <w:t>(mint a Philips esetében)</w:t>
      </w:r>
      <w:r w:rsidR="00DF1437" w:rsidRPr="001C2DF8">
        <w:t>, valamint</w:t>
      </w:r>
      <w:r w:rsidR="00C06D56" w:rsidRPr="001C2DF8">
        <w:t xml:space="preserve"> egyéb, </w:t>
      </w:r>
      <w:r w:rsidR="00661E9D">
        <w:t>nem kereskedelempolitikai</w:t>
      </w:r>
      <w:r w:rsidR="00C06D56" w:rsidRPr="001C2DF8">
        <w:t xml:space="preserve"> </w:t>
      </w:r>
      <w:r w:rsidR="00661E9D">
        <w:t>ösztönző és ellenösztönző eszköz</w:t>
      </w:r>
      <w:r w:rsidR="00C06D56" w:rsidRPr="001C2DF8">
        <w:t xml:space="preserve"> </w:t>
      </w:r>
      <w:r w:rsidRPr="001C2DF8">
        <w:t>bevetésére</w:t>
      </w:r>
      <w:r w:rsidR="00C06D56" w:rsidRPr="001C2DF8">
        <w:t xml:space="preserve">. </w:t>
      </w:r>
      <w:r w:rsidR="00100B58">
        <w:t>Nem volt szükség azonban olyan kifinomult</w:t>
      </w:r>
      <w:r w:rsidR="00C06D56" w:rsidRPr="001C2DF8">
        <w:t xml:space="preserve"> stratégiai kereskedelemi számításokra, </w:t>
      </w:r>
      <w:r w:rsidR="00100B58">
        <w:t>mint amilyenek</w:t>
      </w:r>
      <w:r w:rsidR="00100B58" w:rsidRPr="001C2DF8">
        <w:t xml:space="preserve"> </w:t>
      </w:r>
      <w:r w:rsidR="00C06D56" w:rsidRPr="001C2DF8">
        <w:t xml:space="preserve">a fejlett ipari gazdaságok </w:t>
      </w:r>
      <w:r w:rsidR="00100B58">
        <w:t>high-tech</w:t>
      </w:r>
      <w:r w:rsidR="00DF1437" w:rsidRPr="001C2DF8">
        <w:t xml:space="preserve"> </w:t>
      </w:r>
      <w:r w:rsidR="00C06D56" w:rsidRPr="001C2DF8">
        <w:t xml:space="preserve">iparainak esetében – a hagyományos kereskedelmi elmélet szerint – elengedhetetlenek. </w:t>
      </w:r>
    </w:p>
    <w:p w:rsidR="00B37259" w:rsidRPr="001C2DF8" w:rsidRDefault="00B37259" w:rsidP="007B70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C2DF8">
        <w:rPr>
          <w:bCs/>
        </w:rPr>
        <w:t>Akár</w:t>
      </w:r>
      <w:r w:rsidR="00DF1437" w:rsidRPr="001C2DF8">
        <w:rPr>
          <w:bCs/>
        </w:rPr>
        <w:t>mit is gondolunk e stratégiákról</w:t>
      </w:r>
      <w:r w:rsidRPr="001C2DF8">
        <w:rPr>
          <w:bCs/>
        </w:rPr>
        <w:t xml:space="preserve">, a </w:t>
      </w:r>
      <w:r w:rsidR="00961B3F" w:rsidRPr="001C2DF8">
        <w:rPr>
          <w:bCs/>
        </w:rPr>
        <w:t xml:space="preserve">köztisztviselők </w:t>
      </w:r>
      <w:r w:rsidRPr="001C2DF8">
        <w:rPr>
          <w:bCs/>
        </w:rPr>
        <w:t xml:space="preserve">láthatatlan, mégis érzékelhető </w:t>
      </w:r>
      <w:r w:rsidR="00961B3F" w:rsidRPr="001C2DF8">
        <w:rPr>
          <w:bCs/>
        </w:rPr>
        <w:t>beavatko</w:t>
      </w:r>
      <w:r w:rsidRPr="001C2DF8">
        <w:rPr>
          <w:bCs/>
        </w:rPr>
        <w:t>zásának hatásait számszerűsíteni kétségkívül nehéz feladat</w:t>
      </w:r>
      <w:r w:rsidR="00DF1437" w:rsidRPr="001C2DF8">
        <w:rPr>
          <w:bCs/>
        </w:rPr>
        <w:t xml:space="preserve">. </w:t>
      </w:r>
      <w:r w:rsidRPr="001C2DF8">
        <w:rPr>
          <w:bCs/>
        </w:rPr>
        <w:t xml:space="preserve">Biztosak csupán abban lehetünk, hogy ezt a stratégiát </w:t>
      </w:r>
      <w:r w:rsidR="00100B58">
        <w:rPr>
          <w:bCs/>
        </w:rPr>
        <w:t>az elkötelezett</w:t>
      </w:r>
      <w:r w:rsidR="00100B58" w:rsidRPr="001C2DF8">
        <w:rPr>
          <w:bCs/>
        </w:rPr>
        <w:t xml:space="preserve"> köztisztviselők közreműködésével</w:t>
      </w:r>
      <w:r w:rsidR="00100B58">
        <w:rPr>
          <w:bCs/>
        </w:rPr>
        <w:t xml:space="preserve"> több évtizeden át </w:t>
      </w:r>
      <w:r w:rsidR="00DF1437" w:rsidRPr="001C2DF8">
        <w:rPr>
          <w:bCs/>
        </w:rPr>
        <w:t xml:space="preserve">alkalmazták </w:t>
      </w:r>
      <w:r w:rsidR="00100B58" w:rsidRPr="001C2DF8">
        <w:rPr>
          <w:bCs/>
        </w:rPr>
        <w:t>szüntelenül</w:t>
      </w:r>
      <w:r w:rsidR="00DF1437" w:rsidRPr="001C2DF8">
        <w:rPr>
          <w:bCs/>
        </w:rPr>
        <w:t xml:space="preserve">.  </w:t>
      </w:r>
      <w:r w:rsidRPr="001C2DF8">
        <w:rPr>
          <w:bCs/>
        </w:rPr>
        <w:t xml:space="preserve">  </w:t>
      </w:r>
    </w:p>
    <w:p w:rsidR="00DF1437" w:rsidRPr="001C2DF8" w:rsidRDefault="00DF1437" w:rsidP="007B70B2">
      <w:pPr>
        <w:autoSpaceDE w:val="0"/>
        <w:autoSpaceDN w:val="0"/>
        <w:adjustRightInd w:val="0"/>
        <w:jc w:val="both"/>
        <w:rPr>
          <w:bCs/>
        </w:rPr>
      </w:pPr>
    </w:p>
    <w:p w:rsidR="00961B3F" w:rsidRPr="00100B58" w:rsidRDefault="00910D21" w:rsidP="007B70B2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Az él</w:t>
      </w:r>
      <w:r w:rsidR="00B37259" w:rsidRPr="00100B58">
        <w:rPr>
          <w:bCs/>
          <w:i/>
        </w:rPr>
        <w:t xml:space="preserve">retörés </w:t>
      </w:r>
      <w:r w:rsidR="00100B58" w:rsidRPr="00100B58">
        <w:rPr>
          <w:bCs/>
          <w:i/>
        </w:rPr>
        <w:t>szakasza</w:t>
      </w:r>
    </w:p>
    <w:p w:rsidR="00B37259" w:rsidRPr="001C2DF8" w:rsidRDefault="00B37259" w:rsidP="007B70B2">
      <w:pPr>
        <w:autoSpaceDE w:val="0"/>
        <w:autoSpaceDN w:val="0"/>
        <w:adjustRightInd w:val="0"/>
        <w:jc w:val="both"/>
        <w:rPr>
          <w:b/>
          <w:bCs/>
        </w:rPr>
      </w:pPr>
    </w:p>
    <w:p w:rsidR="004F6679" w:rsidRDefault="00961B3F" w:rsidP="004F66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2DF8">
        <w:rPr>
          <w:bCs/>
        </w:rPr>
        <w:t>Mára Tajvan elérte az OECD középmezőnyébe rangsorolt or</w:t>
      </w:r>
      <w:r w:rsidR="00DF1437" w:rsidRPr="001C2DF8">
        <w:rPr>
          <w:bCs/>
        </w:rPr>
        <w:t>szágainak</w:t>
      </w:r>
      <w:r w:rsidR="00B37259" w:rsidRPr="001C2DF8">
        <w:rPr>
          <w:bCs/>
        </w:rPr>
        <w:t xml:space="preserve"> technológiai szintjét</w:t>
      </w:r>
      <w:r w:rsidR="006A33A1">
        <w:rPr>
          <w:bCs/>
        </w:rPr>
        <w:t>, ami</w:t>
      </w:r>
      <w:r w:rsidR="00B37259" w:rsidRPr="001C2DF8">
        <w:rPr>
          <w:bCs/>
        </w:rPr>
        <w:t xml:space="preserve"> egyedülálló</w:t>
      </w:r>
      <w:r w:rsidR="006A33A1">
        <w:rPr>
          <w:bCs/>
        </w:rPr>
        <w:t xml:space="preserve"> eredménynek számít. </w:t>
      </w:r>
      <w:r w:rsidRPr="001C2DF8">
        <w:rPr>
          <w:bCs/>
        </w:rPr>
        <w:t>Igaz,</w:t>
      </w:r>
      <w:r w:rsidR="00B37259" w:rsidRPr="001C2DF8">
        <w:rPr>
          <w:bCs/>
        </w:rPr>
        <w:t xml:space="preserve"> a legtöbb ágazatban</w:t>
      </w:r>
      <w:r w:rsidRPr="001C2DF8">
        <w:rPr>
          <w:bCs/>
        </w:rPr>
        <w:t xml:space="preserve"> </w:t>
      </w:r>
      <w:r w:rsidR="00B37259" w:rsidRPr="001C2DF8">
        <w:rPr>
          <w:bCs/>
        </w:rPr>
        <w:t xml:space="preserve">az ország </w:t>
      </w:r>
      <w:r w:rsidRPr="001C2DF8">
        <w:rPr>
          <w:bCs/>
        </w:rPr>
        <w:t xml:space="preserve">még mindig jelentősen </w:t>
      </w:r>
      <w:r w:rsidR="006A33A1">
        <w:rPr>
          <w:bCs/>
        </w:rPr>
        <w:t>e</w:t>
      </w:r>
      <w:r w:rsidR="00B37259" w:rsidRPr="001C2DF8">
        <w:rPr>
          <w:bCs/>
        </w:rPr>
        <w:t>lmarad a világ technológiai élvonalát</w:t>
      </w:r>
      <w:r w:rsidR="006A33A1">
        <w:rPr>
          <w:bCs/>
        </w:rPr>
        <w:t>ól</w:t>
      </w:r>
      <w:r w:rsidR="00B37259" w:rsidRPr="001C2DF8">
        <w:rPr>
          <w:bCs/>
        </w:rPr>
        <w:t xml:space="preserve">. S bár Tajvan elkötelezett a WTO </w:t>
      </w:r>
      <w:r w:rsidR="006A33A1">
        <w:rPr>
          <w:bCs/>
        </w:rPr>
        <w:t>elvei</w:t>
      </w:r>
      <w:r w:rsidR="006A33A1" w:rsidRPr="001C2DF8">
        <w:rPr>
          <w:bCs/>
        </w:rPr>
        <w:t xml:space="preserve"> </w:t>
      </w:r>
      <w:r w:rsidR="00B37259" w:rsidRPr="001C2DF8">
        <w:rPr>
          <w:bCs/>
        </w:rPr>
        <w:t xml:space="preserve">mellett, az állam továbbra </w:t>
      </w:r>
      <w:r w:rsidR="006A33A1">
        <w:rPr>
          <w:bCs/>
        </w:rPr>
        <w:t>a gazdaság egészére vonatkozó fejlesztési programokat hajt végre</w:t>
      </w:r>
      <w:r w:rsidR="00B37259" w:rsidRPr="001C2DF8">
        <w:rPr>
          <w:bCs/>
        </w:rPr>
        <w:t>, beavatkozik a gazdasági tevékenység</w:t>
      </w:r>
      <w:r w:rsidR="006A33A1">
        <w:rPr>
          <w:bCs/>
        </w:rPr>
        <w:t>ek összetételébe</w:t>
      </w:r>
      <w:r w:rsidR="00B37259" w:rsidRPr="001C2DF8">
        <w:rPr>
          <w:bCs/>
        </w:rPr>
        <w:t xml:space="preserve"> és nem enged szabad folyást a piacnak. </w:t>
      </w:r>
      <w:r w:rsidR="00717F15">
        <w:rPr>
          <w:bCs/>
        </w:rPr>
        <w:t xml:space="preserve">Ahogy </w:t>
      </w:r>
      <w:r w:rsidRPr="001C2DF8">
        <w:rPr>
          <w:color w:val="000000"/>
        </w:rPr>
        <w:t xml:space="preserve">Linda Weiss és Elizabeth Thurbon </w:t>
      </w:r>
      <w:r w:rsidR="00717F15">
        <w:rPr>
          <w:color w:val="000000"/>
        </w:rPr>
        <w:t>figyelmeztetnek:</w:t>
      </w:r>
      <w:r w:rsidRPr="001C2DF8">
        <w:rPr>
          <w:color w:val="000000"/>
        </w:rPr>
        <w:t xml:space="preserve"> </w:t>
      </w:r>
    </w:p>
    <w:p w:rsidR="0087234E" w:rsidRPr="00717F15" w:rsidRDefault="00717F15" w:rsidP="00717F15">
      <w:pPr>
        <w:autoSpaceDE w:val="0"/>
        <w:autoSpaceDN w:val="0"/>
        <w:adjustRightInd w:val="0"/>
        <w:ind w:left="1134" w:righ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961B3F" w:rsidRPr="00717F15">
        <w:rPr>
          <w:color w:val="000000"/>
          <w:sz w:val="20"/>
          <w:szCs w:val="20"/>
        </w:rPr>
        <w:t xml:space="preserve"> piac kormányzás</w:t>
      </w:r>
      <w:r w:rsidR="004F6679" w:rsidRPr="00717F15">
        <w:rPr>
          <w:color w:val="000000"/>
          <w:sz w:val="20"/>
          <w:szCs w:val="20"/>
        </w:rPr>
        <w:t xml:space="preserve">a </w:t>
      </w:r>
      <w:r w:rsidR="00961B3F" w:rsidRPr="00717F15">
        <w:rPr>
          <w:color w:val="000000"/>
          <w:sz w:val="20"/>
          <w:szCs w:val="20"/>
        </w:rPr>
        <w:t xml:space="preserve">nem csupán </w:t>
      </w:r>
      <w:r w:rsidR="006A33A1" w:rsidRPr="00717F15">
        <w:rPr>
          <w:i/>
          <w:color w:val="000000"/>
          <w:sz w:val="20"/>
          <w:szCs w:val="20"/>
        </w:rPr>
        <w:t>köz</w:t>
      </w:r>
      <w:r w:rsidR="00961B3F" w:rsidRPr="00717F15">
        <w:rPr>
          <w:i/>
          <w:color w:val="000000"/>
          <w:sz w:val="20"/>
          <w:szCs w:val="20"/>
        </w:rPr>
        <w:t>politik</w:t>
      </w:r>
      <w:r w:rsidR="006A33A1" w:rsidRPr="00717F15">
        <w:rPr>
          <w:i/>
          <w:color w:val="000000"/>
          <w:sz w:val="20"/>
          <w:szCs w:val="20"/>
        </w:rPr>
        <w:t>ai</w:t>
      </w:r>
      <w:r w:rsidR="006A33A1" w:rsidRPr="00717F15">
        <w:rPr>
          <w:color w:val="000000"/>
          <w:sz w:val="20"/>
          <w:szCs w:val="20"/>
        </w:rPr>
        <w:t xml:space="preserve"> tevékenység</w:t>
      </w:r>
      <w:r w:rsidR="00961B3F" w:rsidRPr="00717F15">
        <w:rPr>
          <w:color w:val="000000"/>
          <w:sz w:val="20"/>
          <w:szCs w:val="20"/>
        </w:rPr>
        <w:t>, hanem – ami talán</w:t>
      </w:r>
      <w:r w:rsidR="00B37259" w:rsidRPr="00717F15">
        <w:rPr>
          <w:color w:val="000000"/>
          <w:sz w:val="20"/>
          <w:szCs w:val="20"/>
        </w:rPr>
        <w:t xml:space="preserve"> ennél is</w:t>
      </w:r>
      <w:r w:rsidR="00961B3F" w:rsidRPr="00717F15">
        <w:rPr>
          <w:color w:val="000000"/>
          <w:sz w:val="20"/>
          <w:szCs w:val="20"/>
        </w:rPr>
        <w:t xml:space="preserve"> fontosabb – </w:t>
      </w:r>
      <w:r w:rsidR="00F81165" w:rsidRPr="00717F15">
        <w:rPr>
          <w:color w:val="000000"/>
          <w:sz w:val="20"/>
          <w:szCs w:val="20"/>
        </w:rPr>
        <w:t>egy olyan</w:t>
      </w:r>
      <w:r w:rsidR="00961B3F" w:rsidRPr="00717F15">
        <w:rPr>
          <w:color w:val="000000"/>
          <w:sz w:val="20"/>
          <w:szCs w:val="20"/>
        </w:rPr>
        <w:t xml:space="preserve"> </w:t>
      </w:r>
      <w:r w:rsidR="006A33A1" w:rsidRPr="00717F15">
        <w:rPr>
          <w:color w:val="000000"/>
          <w:sz w:val="20"/>
          <w:szCs w:val="20"/>
        </w:rPr>
        <w:t xml:space="preserve">normatív </w:t>
      </w:r>
      <w:r w:rsidR="004F6679" w:rsidRPr="00717F15">
        <w:rPr>
          <w:color w:val="000000"/>
          <w:sz w:val="20"/>
          <w:szCs w:val="20"/>
        </w:rPr>
        <w:t>légkör</w:t>
      </w:r>
      <w:r w:rsidR="00B37259" w:rsidRPr="00717F15">
        <w:rPr>
          <w:color w:val="000000"/>
          <w:sz w:val="20"/>
          <w:szCs w:val="20"/>
        </w:rPr>
        <w:t xml:space="preserve">, mely </w:t>
      </w:r>
      <w:r w:rsidR="004F6679" w:rsidRPr="00717F15">
        <w:rPr>
          <w:color w:val="000000"/>
          <w:sz w:val="20"/>
          <w:szCs w:val="20"/>
        </w:rPr>
        <w:t>fenntartja</w:t>
      </w:r>
      <w:r w:rsidR="00DF1437" w:rsidRPr="00717F15">
        <w:rPr>
          <w:color w:val="000000"/>
          <w:sz w:val="20"/>
          <w:szCs w:val="20"/>
        </w:rPr>
        <w:t xml:space="preserve"> a </w:t>
      </w:r>
      <w:r w:rsidR="006A33A1" w:rsidRPr="00717F15">
        <w:rPr>
          <w:color w:val="000000"/>
          <w:sz w:val="20"/>
          <w:szCs w:val="20"/>
        </w:rPr>
        <w:t xml:space="preserve">piac </w:t>
      </w:r>
      <w:r w:rsidR="00DF1437" w:rsidRPr="00717F15">
        <w:rPr>
          <w:color w:val="000000"/>
          <w:sz w:val="20"/>
          <w:szCs w:val="20"/>
        </w:rPr>
        <w:t>kormányzás</w:t>
      </w:r>
      <w:r w:rsidR="006A33A1" w:rsidRPr="00717F15">
        <w:rPr>
          <w:color w:val="000000"/>
          <w:sz w:val="20"/>
          <w:szCs w:val="20"/>
        </w:rPr>
        <w:t>á</w:t>
      </w:r>
      <w:r w:rsidR="004F6679" w:rsidRPr="00717F15">
        <w:rPr>
          <w:color w:val="000000"/>
          <w:sz w:val="20"/>
          <w:szCs w:val="20"/>
        </w:rPr>
        <w:t xml:space="preserve">nak </w:t>
      </w:r>
      <w:r w:rsidR="004F6679" w:rsidRPr="00717F15">
        <w:rPr>
          <w:i/>
          <w:color w:val="000000"/>
          <w:sz w:val="20"/>
          <w:szCs w:val="20"/>
        </w:rPr>
        <w:t>szándékát</w:t>
      </w:r>
      <w:r w:rsidR="00DF1437" w:rsidRPr="00717F15">
        <w:rPr>
          <w:color w:val="000000"/>
          <w:sz w:val="20"/>
          <w:szCs w:val="20"/>
        </w:rPr>
        <w:t xml:space="preserve">, </w:t>
      </w:r>
      <w:r w:rsidR="00F81165" w:rsidRPr="00717F15">
        <w:rPr>
          <w:color w:val="000000"/>
          <w:sz w:val="20"/>
          <w:szCs w:val="20"/>
        </w:rPr>
        <w:t>s melyben a</w:t>
      </w:r>
      <w:r w:rsidR="00073740" w:rsidRPr="00717F15">
        <w:rPr>
          <w:color w:val="000000"/>
          <w:sz w:val="20"/>
          <w:szCs w:val="20"/>
        </w:rPr>
        <w:t xml:space="preserve"> politikai szereplők </w:t>
      </w:r>
      <w:r w:rsidR="00F81165" w:rsidRPr="00717F15">
        <w:rPr>
          <w:i/>
          <w:color w:val="000000"/>
          <w:sz w:val="20"/>
          <w:szCs w:val="20"/>
        </w:rPr>
        <w:t>legitimnek</w:t>
      </w:r>
      <w:r w:rsidR="00F81165" w:rsidRPr="00717F15">
        <w:rPr>
          <w:color w:val="000000"/>
          <w:sz w:val="20"/>
          <w:szCs w:val="20"/>
        </w:rPr>
        <w:t xml:space="preserve"> tartják </w:t>
      </w:r>
      <w:r w:rsidR="004F6679" w:rsidRPr="00717F15">
        <w:rPr>
          <w:color w:val="000000"/>
          <w:sz w:val="20"/>
          <w:szCs w:val="20"/>
        </w:rPr>
        <w:t>azt</w:t>
      </w:r>
      <w:r w:rsidR="00073740" w:rsidRPr="00717F15">
        <w:rPr>
          <w:color w:val="000000"/>
          <w:sz w:val="20"/>
          <w:szCs w:val="20"/>
        </w:rPr>
        <w:t xml:space="preserve">. </w:t>
      </w:r>
      <w:r w:rsidR="004F6679" w:rsidRPr="00717F15">
        <w:rPr>
          <w:color w:val="000000"/>
          <w:sz w:val="20"/>
          <w:szCs w:val="20"/>
        </w:rPr>
        <w:t>A</w:t>
      </w:r>
      <w:r w:rsidR="00073740" w:rsidRPr="00717F15">
        <w:rPr>
          <w:color w:val="000000"/>
          <w:sz w:val="20"/>
          <w:szCs w:val="20"/>
        </w:rPr>
        <w:t xml:space="preserve"> </w:t>
      </w:r>
      <w:r w:rsidR="004F6679" w:rsidRPr="00717F15">
        <w:rPr>
          <w:color w:val="000000"/>
          <w:sz w:val="20"/>
          <w:szCs w:val="20"/>
        </w:rPr>
        <w:t xml:space="preserve">főáramú szakirodalom gyakran átsiklik efelett, </w:t>
      </w:r>
      <w:r w:rsidR="00073740" w:rsidRPr="00717F15">
        <w:rPr>
          <w:color w:val="000000"/>
          <w:sz w:val="20"/>
          <w:szCs w:val="20"/>
        </w:rPr>
        <w:t>…</w:t>
      </w:r>
      <w:r w:rsidR="004F6679" w:rsidRPr="00717F15">
        <w:rPr>
          <w:color w:val="000000"/>
          <w:sz w:val="20"/>
          <w:szCs w:val="20"/>
        </w:rPr>
        <w:t xml:space="preserve"> </w:t>
      </w:r>
      <w:r w:rsidR="00073740" w:rsidRPr="00717F15">
        <w:rPr>
          <w:color w:val="000000"/>
          <w:sz w:val="20"/>
          <w:szCs w:val="20"/>
        </w:rPr>
        <w:t xml:space="preserve">a </w:t>
      </w:r>
      <w:r w:rsidR="004F6679" w:rsidRPr="00717F15">
        <w:rPr>
          <w:color w:val="000000"/>
          <w:sz w:val="20"/>
          <w:szCs w:val="20"/>
        </w:rPr>
        <w:t xml:space="preserve">[pénzügyi] </w:t>
      </w:r>
      <w:r w:rsidR="00073740" w:rsidRPr="00717F15">
        <w:rPr>
          <w:color w:val="000000"/>
          <w:sz w:val="20"/>
          <w:szCs w:val="20"/>
        </w:rPr>
        <w:t xml:space="preserve">válság </w:t>
      </w:r>
      <w:r w:rsidR="0087234E" w:rsidRPr="00717F15">
        <w:rPr>
          <w:color w:val="000000"/>
          <w:sz w:val="20"/>
          <w:szCs w:val="20"/>
        </w:rPr>
        <w:t>óta megfigyelhető</w:t>
      </w:r>
      <w:r w:rsidR="00073740" w:rsidRPr="00717F15">
        <w:rPr>
          <w:color w:val="000000"/>
          <w:sz w:val="20"/>
          <w:szCs w:val="20"/>
        </w:rPr>
        <w:t xml:space="preserve"> </w:t>
      </w:r>
      <w:r w:rsidR="0087234E" w:rsidRPr="00717F15">
        <w:rPr>
          <w:i/>
          <w:color w:val="000000"/>
          <w:sz w:val="20"/>
          <w:szCs w:val="20"/>
        </w:rPr>
        <w:t>közpolitikai</w:t>
      </w:r>
      <w:r w:rsidR="0087234E" w:rsidRPr="00717F15">
        <w:rPr>
          <w:color w:val="000000"/>
          <w:sz w:val="20"/>
          <w:szCs w:val="20"/>
        </w:rPr>
        <w:t xml:space="preserve"> változásokkal érvelve [miszerint az</w:t>
      </w:r>
      <w:r w:rsidR="00073740" w:rsidRPr="00717F15">
        <w:rPr>
          <w:color w:val="000000"/>
          <w:sz w:val="20"/>
          <w:szCs w:val="20"/>
        </w:rPr>
        <w:t xml:space="preserve"> </w:t>
      </w:r>
      <w:r w:rsidR="0087234E" w:rsidRPr="00717F15">
        <w:rPr>
          <w:color w:val="000000"/>
          <w:sz w:val="20"/>
          <w:szCs w:val="20"/>
        </w:rPr>
        <w:t xml:space="preserve">1997-1998-as krízis óta </w:t>
      </w:r>
      <w:r w:rsidR="00073740" w:rsidRPr="00717F15">
        <w:rPr>
          <w:color w:val="000000"/>
          <w:sz w:val="20"/>
          <w:szCs w:val="20"/>
        </w:rPr>
        <w:t xml:space="preserve">a tajvani kormány </w:t>
      </w:r>
      <w:r w:rsidR="0087234E" w:rsidRPr="00717F15">
        <w:rPr>
          <w:color w:val="000000"/>
          <w:sz w:val="20"/>
          <w:szCs w:val="20"/>
        </w:rPr>
        <w:t xml:space="preserve">felhagyott </w:t>
      </w:r>
      <w:r w:rsidR="00073740" w:rsidRPr="00717F15">
        <w:rPr>
          <w:color w:val="000000"/>
          <w:sz w:val="20"/>
          <w:szCs w:val="20"/>
        </w:rPr>
        <w:t>a piac kormányzásával</w:t>
      </w:r>
      <w:r w:rsidR="0087234E" w:rsidRPr="00717F15">
        <w:rPr>
          <w:color w:val="000000"/>
          <w:sz w:val="20"/>
          <w:szCs w:val="20"/>
        </w:rPr>
        <w:t>].</w:t>
      </w:r>
      <w:r w:rsidR="00073740" w:rsidRPr="00717F15">
        <w:rPr>
          <w:color w:val="000000"/>
          <w:sz w:val="20"/>
          <w:szCs w:val="20"/>
        </w:rPr>
        <w:t xml:space="preserve"> </w:t>
      </w:r>
      <w:r w:rsidR="0087234E" w:rsidRPr="00717F15">
        <w:rPr>
          <w:color w:val="000000"/>
          <w:sz w:val="20"/>
          <w:szCs w:val="20"/>
        </w:rPr>
        <w:t>Ez annak a gyakori előfeltételezésnek az eredménye, miszerint ha az</w:t>
      </w:r>
      <w:r w:rsidR="00073740" w:rsidRPr="00717F15">
        <w:rPr>
          <w:color w:val="000000"/>
          <w:sz w:val="20"/>
          <w:szCs w:val="20"/>
        </w:rPr>
        <w:t xml:space="preserve"> állam a krízist megelőző politikák egy részével felhagy</w:t>
      </w:r>
      <w:r w:rsidR="0087234E" w:rsidRPr="00717F15">
        <w:rPr>
          <w:color w:val="000000"/>
          <w:sz w:val="20"/>
          <w:szCs w:val="20"/>
        </w:rPr>
        <w:t xml:space="preserve">, </w:t>
      </w:r>
      <w:r w:rsidRPr="00717F15">
        <w:rPr>
          <w:color w:val="000000"/>
          <w:sz w:val="20"/>
          <w:szCs w:val="20"/>
        </w:rPr>
        <w:t xml:space="preserve">egyben </w:t>
      </w:r>
      <w:r w:rsidR="0087234E" w:rsidRPr="00717F15">
        <w:rPr>
          <w:color w:val="000000"/>
          <w:sz w:val="20"/>
          <w:szCs w:val="20"/>
        </w:rPr>
        <w:t>a piac kormányzásával</w:t>
      </w:r>
      <w:r w:rsidR="00073740" w:rsidRPr="00717F15">
        <w:rPr>
          <w:b/>
          <w:color w:val="000000"/>
          <w:sz w:val="20"/>
          <w:szCs w:val="20"/>
        </w:rPr>
        <w:t xml:space="preserve"> </w:t>
      </w:r>
      <w:r w:rsidR="0087234E" w:rsidRPr="00717F15">
        <w:rPr>
          <w:color w:val="000000"/>
          <w:sz w:val="20"/>
          <w:szCs w:val="20"/>
        </w:rPr>
        <w:t>is felhagyott</w:t>
      </w:r>
      <w:r w:rsidR="00073740" w:rsidRPr="00717F15">
        <w:rPr>
          <w:color w:val="000000"/>
          <w:sz w:val="20"/>
          <w:szCs w:val="20"/>
        </w:rPr>
        <w:t xml:space="preserve">, </w:t>
      </w:r>
      <w:r w:rsidR="0087234E" w:rsidRPr="00717F15">
        <w:rPr>
          <w:color w:val="000000"/>
          <w:sz w:val="20"/>
          <w:szCs w:val="20"/>
        </w:rPr>
        <w:t>összhangban</w:t>
      </w:r>
      <w:r w:rsidR="00073740" w:rsidRPr="00717F15">
        <w:rPr>
          <w:color w:val="000000"/>
          <w:sz w:val="20"/>
          <w:szCs w:val="20"/>
        </w:rPr>
        <w:t xml:space="preserve"> </w:t>
      </w:r>
      <w:r w:rsidR="0087234E" w:rsidRPr="00717F15">
        <w:rPr>
          <w:color w:val="000000"/>
          <w:sz w:val="20"/>
          <w:szCs w:val="20"/>
        </w:rPr>
        <w:t xml:space="preserve">a </w:t>
      </w:r>
      <w:r w:rsidR="00073740" w:rsidRPr="00717F15">
        <w:rPr>
          <w:color w:val="000000"/>
          <w:sz w:val="20"/>
          <w:szCs w:val="20"/>
        </w:rPr>
        <w:t>versenyelvű liberalizmus elvei</w:t>
      </w:r>
      <w:r w:rsidR="0087234E" w:rsidRPr="00717F15">
        <w:rPr>
          <w:color w:val="000000"/>
          <w:sz w:val="20"/>
          <w:szCs w:val="20"/>
        </w:rPr>
        <w:t xml:space="preserve">vel </w:t>
      </w:r>
      <w:r w:rsidR="000E75AB" w:rsidRPr="00717F15">
        <w:rPr>
          <w:sz w:val="20"/>
          <w:szCs w:val="20"/>
        </w:rPr>
        <w:t>(Weiss és Thurbon, 2004: 63)</w:t>
      </w:r>
      <w:r w:rsidR="00073740" w:rsidRPr="00717F15">
        <w:rPr>
          <w:color w:val="000000"/>
          <w:sz w:val="20"/>
          <w:szCs w:val="20"/>
        </w:rPr>
        <w:t xml:space="preserve">. </w:t>
      </w:r>
    </w:p>
    <w:p w:rsidR="00073740" w:rsidRPr="001C2DF8" w:rsidRDefault="00717F15" w:rsidP="004F66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Kontrasztként Weiss és Thruborn felhívják a figyelmet a</w:t>
      </w:r>
      <w:r w:rsidR="003A7E7D" w:rsidRPr="001C2DF8">
        <w:rPr>
          <w:color w:val="000000"/>
        </w:rPr>
        <w:t xml:space="preserve"> Tajvani Fejlesztési Hivatal bejáratában </w:t>
      </w:r>
      <w:r w:rsidR="00DF1437" w:rsidRPr="001C2DF8">
        <w:rPr>
          <w:color w:val="000000"/>
        </w:rPr>
        <w:t>olvasható</w:t>
      </w:r>
      <w:r>
        <w:rPr>
          <w:color w:val="000000"/>
        </w:rPr>
        <w:t xml:space="preserve"> </w:t>
      </w:r>
      <w:r w:rsidRPr="001C2DF8">
        <w:rPr>
          <w:color w:val="000000"/>
        </w:rPr>
        <w:t>Goethe idéze</w:t>
      </w:r>
      <w:r>
        <w:rPr>
          <w:color w:val="000000"/>
        </w:rPr>
        <w:t>tre</w:t>
      </w:r>
      <w:r w:rsidR="003A7E7D" w:rsidRPr="001C2DF8">
        <w:rPr>
          <w:color w:val="000000"/>
        </w:rPr>
        <w:t>, mely</w:t>
      </w:r>
      <w:r>
        <w:rPr>
          <w:color w:val="000000"/>
        </w:rPr>
        <w:t xml:space="preserve"> jól megvilágítja a stratégiai gazdaságtanra illetve a liberális gazdaságtanra épített</w:t>
      </w:r>
      <w:r w:rsidR="003A7E7D" w:rsidRPr="001C2DF8">
        <w:rPr>
          <w:color w:val="000000"/>
        </w:rPr>
        <w:t xml:space="preserve"> </w:t>
      </w:r>
      <w:r>
        <w:rPr>
          <w:color w:val="000000"/>
        </w:rPr>
        <w:t>kormányzati szerep</w:t>
      </w:r>
      <w:r w:rsidR="003A7E7D" w:rsidRPr="001C2DF8">
        <w:rPr>
          <w:color w:val="000000"/>
        </w:rPr>
        <w:t xml:space="preserve"> közötti különbséget az </w:t>
      </w:r>
      <w:r w:rsidR="003A7E7D" w:rsidRPr="00717F15">
        <w:rPr>
          <w:i/>
          <w:color w:val="000000"/>
        </w:rPr>
        <w:t>elvek</w:t>
      </w:r>
      <w:r w:rsidR="003A7E7D" w:rsidRPr="001C2DF8">
        <w:rPr>
          <w:color w:val="000000"/>
        </w:rPr>
        <w:t xml:space="preserve"> szintjén: „a legfontosabb dolog az életben, hogy legyen célunk, valamint eltökéltségünk, hogy elérjük azt.”  </w:t>
      </w:r>
    </w:p>
    <w:p w:rsidR="00961B3F" w:rsidRPr="001C2DF8" w:rsidRDefault="003A7E7D" w:rsidP="007B70B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DF8">
        <w:rPr>
          <w:color w:val="000000"/>
        </w:rPr>
        <w:t xml:space="preserve">Tajvan továbbra is </w:t>
      </w:r>
      <w:r w:rsidR="00CB46E7">
        <w:rPr>
          <w:color w:val="000000"/>
        </w:rPr>
        <w:t xml:space="preserve">a </w:t>
      </w:r>
      <w:r w:rsidR="00CB46E7" w:rsidRPr="001C2DF8">
        <w:rPr>
          <w:color w:val="000000"/>
        </w:rPr>
        <w:t>fejl</w:t>
      </w:r>
      <w:r w:rsidR="00CB46E7">
        <w:rPr>
          <w:color w:val="000000"/>
        </w:rPr>
        <w:t>esztő</w:t>
      </w:r>
      <w:r w:rsidR="00CB46E7" w:rsidRPr="001C2DF8">
        <w:rPr>
          <w:color w:val="000000"/>
        </w:rPr>
        <w:t xml:space="preserve"> </w:t>
      </w:r>
      <w:r w:rsidR="00961B3F" w:rsidRPr="001C2DF8">
        <w:rPr>
          <w:color w:val="000000"/>
        </w:rPr>
        <w:t>állam</w:t>
      </w:r>
      <w:r w:rsidR="00CB46E7">
        <w:rPr>
          <w:color w:val="000000"/>
        </w:rPr>
        <w:t xml:space="preserve"> szervezeti felépítését követi, melynek főbb jellegzetességei</w:t>
      </w:r>
      <w:r w:rsidR="00961B3F" w:rsidRPr="001C2DF8">
        <w:rPr>
          <w:color w:val="000000"/>
        </w:rPr>
        <w:t xml:space="preserve">:  </w:t>
      </w:r>
    </w:p>
    <w:p w:rsidR="003A7E7D" w:rsidRPr="001C2DF8" w:rsidRDefault="00CB46E7" w:rsidP="00CB46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Egy központi szerv,</w:t>
      </w:r>
      <w:r w:rsidR="00961B3F" w:rsidRPr="001C2DF8">
        <w:rPr>
          <w:color w:val="000000"/>
        </w:rPr>
        <w:t xml:space="preserve"> </w:t>
      </w:r>
      <w:r w:rsidRPr="001C2DF8">
        <w:rPr>
          <w:color w:val="000000"/>
        </w:rPr>
        <w:t>a Gazdasági Tervezési és Fejlesztési Tanács</w:t>
      </w:r>
      <w:r>
        <w:rPr>
          <w:color w:val="000000"/>
        </w:rPr>
        <w:t xml:space="preserve"> </w:t>
      </w:r>
      <w:r w:rsidR="00CC48CE">
        <w:rPr>
          <w:color w:val="000000"/>
        </w:rPr>
        <w:t xml:space="preserve"> (Council for Economic Planning and Development) </w:t>
      </w:r>
      <w:r>
        <w:rPr>
          <w:color w:val="000000"/>
        </w:rPr>
        <w:t>látja el a stratégiai irányítást</w:t>
      </w:r>
      <w:r w:rsidR="00961B3F" w:rsidRPr="001C2DF8">
        <w:rPr>
          <w:color w:val="000000"/>
        </w:rPr>
        <w:t>,</w:t>
      </w:r>
      <w:r>
        <w:rPr>
          <w:color w:val="000000"/>
        </w:rPr>
        <w:t xml:space="preserve"> melynek</w:t>
      </w:r>
      <w:r w:rsidR="00961B3F" w:rsidRPr="001C2DF8">
        <w:rPr>
          <w:color w:val="000000"/>
        </w:rPr>
        <w:t xml:space="preserve"> elnöke a harmadik legbefolyásosabb politikai vezet</w:t>
      </w:r>
      <w:r w:rsidR="003A7E7D" w:rsidRPr="001C2DF8">
        <w:rPr>
          <w:color w:val="000000"/>
        </w:rPr>
        <w:t>ő</w:t>
      </w:r>
      <w:r w:rsidR="00961B3F" w:rsidRPr="001C2DF8">
        <w:rPr>
          <w:color w:val="000000"/>
        </w:rPr>
        <w:t xml:space="preserve"> (a miniszterelnök-helyettes)</w:t>
      </w:r>
      <w:r>
        <w:rPr>
          <w:color w:val="000000"/>
        </w:rPr>
        <w:t>.</w:t>
      </w:r>
      <w:r>
        <w:rPr>
          <w:rStyle w:val="Lbjegyzet-hivatkozs"/>
        </w:rPr>
        <w:footnoteReference w:id="5"/>
      </w:r>
      <w:r w:rsidR="00FC3AE4" w:rsidRPr="001C2DF8">
        <w:rPr>
          <w:color w:val="000000"/>
        </w:rPr>
        <w:t xml:space="preserve"> </w:t>
      </w:r>
    </w:p>
    <w:p w:rsidR="00FC3AE4" w:rsidRPr="001C2DF8" w:rsidRDefault="00FC3AE4" w:rsidP="00CB46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C2DF8">
        <w:rPr>
          <w:color w:val="000000"/>
        </w:rPr>
        <w:t xml:space="preserve">Az </w:t>
      </w:r>
      <w:r w:rsidR="006F3F5F">
        <w:rPr>
          <w:color w:val="000000"/>
        </w:rPr>
        <w:t xml:space="preserve">iparpolitika </w:t>
      </w:r>
      <w:r w:rsidRPr="001C2DF8">
        <w:rPr>
          <w:color w:val="000000"/>
        </w:rPr>
        <w:t xml:space="preserve">főbb feladatait </w:t>
      </w:r>
      <w:r w:rsidR="00961B3F" w:rsidRPr="001C2DF8">
        <w:rPr>
          <w:color w:val="000000"/>
        </w:rPr>
        <w:t>egy operatív ügynökség intézi, az Ipar</w:t>
      </w:r>
      <w:r w:rsidR="00CB46E7">
        <w:rPr>
          <w:color w:val="000000"/>
        </w:rPr>
        <w:t>f</w:t>
      </w:r>
      <w:r w:rsidR="00961B3F" w:rsidRPr="001C2DF8">
        <w:rPr>
          <w:color w:val="000000"/>
        </w:rPr>
        <w:t>ejlesztési Hivatal, amely a Gazdasági Minisztériumon belül található</w:t>
      </w:r>
      <w:r w:rsidRPr="001C2DF8">
        <w:rPr>
          <w:color w:val="000000"/>
        </w:rPr>
        <w:t>.</w:t>
      </w:r>
    </w:p>
    <w:p w:rsidR="00961B3F" w:rsidRPr="001C2DF8" w:rsidRDefault="00CB46E7" w:rsidP="00CB46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Az egyes á</w:t>
      </w:r>
      <w:r w:rsidRPr="001C2DF8">
        <w:rPr>
          <w:color w:val="000000"/>
        </w:rPr>
        <w:t>ga</w:t>
      </w:r>
      <w:r>
        <w:rPr>
          <w:color w:val="000000"/>
        </w:rPr>
        <w:t xml:space="preserve">zatoknak saját </w:t>
      </w:r>
      <w:r w:rsidR="00FC3AE4" w:rsidRPr="001C2DF8">
        <w:rPr>
          <w:color w:val="000000"/>
        </w:rPr>
        <w:t>iparszövetsége</w:t>
      </w:r>
      <w:r>
        <w:rPr>
          <w:color w:val="000000"/>
        </w:rPr>
        <w:t>i</w:t>
      </w:r>
      <w:r w:rsidR="00DF1437" w:rsidRPr="001C2DF8">
        <w:rPr>
          <w:color w:val="000000"/>
        </w:rPr>
        <w:t xml:space="preserve"> </w:t>
      </w:r>
      <w:r>
        <w:rPr>
          <w:color w:val="000000"/>
        </w:rPr>
        <w:t>vannak, melyekben</w:t>
      </w:r>
      <w:r w:rsidRPr="001C2DF8">
        <w:rPr>
          <w:color w:val="000000"/>
        </w:rPr>
        <w:t xml:space="preserve"> </w:t>
      </w:r>
      <w:r>
        <w:rPr>
          <w:color w:val="000000"/>
        </w:rPr>
        <w:t>a</w:t>
      </w:r>
      <w:r w:rsidR="00FC3AE4" w:rsidRPr="001C2DF8">
        <w:rPr>
          <w:color w:val="000000"/>
        </w:rPr>
        <w:t xml:space="preserve"> tagság kötelező. </w:t>
      </w:r>
      <w:r w:rsidR="00DF1437" w:rsidRPr="001C2DF8">
        <w:rPr>
          <w:color w:val="000000"/>
        </w:rPr>
        <w:t>Titkáraikat r</w:t>
      </w:r>
      <w:r w:rsidR="00FC3AE4" w:rsidRPr="001C2DF8">
        <w:rPr>
          <w:color w:val="000000"/>
        </w:rPr>
        <w:t xml:space="preserve">észint a kormány </w:t>
      </w:r>
      <w:r w:rsidR="00961B3F" w:rsidRPr="001C2DF8">
        <w:rPr>
          <w:color w:val="000000"/>
        </w:rPr>
        <w:t xml:space="preserve">nevezi ki, </w:t>
      </w:r>
      <w:r w:rsidR="00DF1437" w:rsidRPr="001C2DF8">
        <w:rPr>
          <w:color w:val="000000"/>
        </w:rPr>
        <w:t xml:space="preserve">ők </w:t>
      </w:r>
      <w:r w:rsidR="00FC3AE4" w:rsidRPr="001C2DF8">
        <w:rPr>
          <w:color w:val="000000"/>
        </w:rPr>
        <w:t>a tagságot alkotó cégek és a kormány között</w:t>
      </w:r>
      <w:r>
        <w:rPr>
          <w:color w:val="000000"/>
        </w:rPr>
        <w:t>i</w:t>
      </w:r>
      <w:r w:rsidR="00FC3AE4" w:rsidRPr="001C2DF8">
        <w:rPr>
          <w:color w:val="000000"/>
        </w:rPr>
        <w:t xml:space="preserve"> </w:t>
      </w:r>
      <w:r w:rsidR="00961B3F" w:rsidRPr="001C2DF8">
        <w:rPr>
          <w:color w:val="000000"/>
        </w:rPr>
        <w:t>kétirányú kommunikációért felel</w:t>
      </w:r>
      <w:r w:rsidR="00FC3AE4" w:rsidRPr="001C2DF8">
        <w:rPr>
          <w:color w:val="000000"/>
        </w:rPr>
        <w:t>nek. (Ilyenformán</w:t>
      </w:r>
      <w:r w:rsidR="00961B3F" w:rsidRPr="001C2DF8">
        <w:rPr>
          <w:color w:val="000000"/>
        </w:rPr>
        <w:t xml:space="preserve"> aligha </w:t>
      </w:r>
      <w:r w:rsidR="00FC3AE4" w:rsidRPr="001C2DF8">
        <w:rPr>
          <w:color w:val="000000"/>
        </w:rPr>
        <w:t xml:space="preserve">történet meg az, </w:t>
      </w:r>
      <w:r w:rsidR="00961B3F" w:rsidRPr="001C2DF8">
        <w:rPr>
          <w:color w:val="000000"/>
        </w:rPr>
        <w:t>hogy a szövetség</w:t>
      </w:r>
      <w:r w:rsidR="00FC3AE4" w:rsidRPr="001C2DF8">
        <w:rPr>
          <w:color w:val="000000"/>
        </w:rPr>
        <w:t xml:space="preserve"> a kormányzat ellen forduljon.</w:t>
      </w:r>
      <w:r w:rsidR="00961B3F" w:rsidRPr="001C2DF8">
        <w:rPr>
          <w:color w:val="000000"/>
        </w:rPr>
        <w:t xml:space="preserve">) </w:t>
      </w:r>
    </w:p>
    <w:p w:rsidR="00FC3AE4" w:rsidRPr="001C2DF8" w:rsidRDefault="007F13C6" w:rsidP="00CB46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Á</w:t>
      </w:r>
      <w:r w:rsidR="00CB46E7">
        <w:rPr>
          <w:color w:val="000000"/>
        </w:rPr>
        <w:t>llami K+F</w:t>
      </w:r>
      <w:r w:rsidR="00FC3AE4" w:rsidRPr="001C2DF8">
        <w:rPr>
          <w:color w:val="000000"/>
        </w:rPr>
        <w:t xml:space="preserve"> </w:t>
      </w:r>
      <w:r w:rsidR="00961B3F" w:rsidRPr="001C2DF8">
        <w:rPr>
          <w:color w:val="000000"/>
        </w:rPr>
        <w:t>laboratóriumok</w:t>
      </w:r>
      <w:r w:rsidR="00FC3AE4" w:rsidRPr="001C2DF8">
        <w:rPr>
          <w:color w:val="000000"/>
        </w:rPr>
        <w:t xml:space="preserve"> működnek</w:t>
      </w:r>
      <w:r w:rsidR="00961B3F" w:rsidRPr="001C2DF8">
        <w:rPr>
          <w:color w:val="000000"/>
        </w:rPr>
        <w:t xml:space="preserve">, </w:t>
      </w:r>
      <w:r w:rsidR="00FC3AE4" w:rsidRPr="001C2DF8">
        <w:rPr>
          <w:color w:val="000000"/>
        </w:rPr>
        <w:t xml:space="preserve">amelyek közül </w:t>
      </w:r>
      <w:r w:rsidR="00DF1437" w:rsidRPr="001C2DF8">
        <w:rPr>
          <w:color w:val="000000"/>
        </w:rPr>
        <w:t>igazán kettő emelkedik ki, egyfelől az ágaz</w:t>
      </w:r>
      <w:r w:rsidR="00FC3AE4" w:rsidRPr="001C2DF8">
        <w:rPr>
          <w:color w:val="000000"/>
        </w:rPr>
        <w:t>atspecifikus laboratóriumokba szerveződő ernyő</w:t>
      </w:r>
      <w:r w:rsidR="00CB46E7">
        <w:rPr>
          <w:color w:val="000000"/>
        </w:rPr>
        <w:t>-hivatal</w:t>
      </w:r>
      <w:r w:rsidR="00FC3AE4" w:rsidRPr="001C2DF8">
        <w:rPr>
          <w:color w:val="000000"/>
        </w:rPr>
        <w:t xml:space="preserve">, az Ipari </w:t>
      </w:r>
      <w:r w:rsidR="00FC3AE4" w:rsidRPr="001C2DF8">
        <w:rPr>
          <w:color w:val="000000"/>
        </w:rPr>
        <w:lastRenderedPageBreak/>
        <w:t>Technoló</w:t>
      </w:r>
      <w:r w:rsidR="00961B3F" w:rsidRPr="001C2DF8">
        <w:rPr>
          <w:color w:val="000000"/>
        </w:rPr>
        <w:t>giai Kutató Intézet (</w:t>
      </w:r>
      <w:r w:rsidR="00CB46E7">
        <w:rPr>
          <w:color w:val="000000"/>
        </w:rPr>
        <w:t>Industrial Technology Research Institute</w:t>
      </w:r>
      <w:r w:rsidR="00D14DAF">
        <w:rPr>
          <w:color w:val="000000"/>
        </w:rPr>
        <w:t>, ITRI</w:t>
      </w:r>
      <w:r w:rsidR="00961B3F" w:rsidRPr="001C2DF8">
        <w:rPr>
          <w:color w:val="000000"/>
        </w:rPr>
        <w:t xml:space="preserve">), </w:t>
      </w:r>
      <w:r w:rsidR="00FC3AE4" w:rsidRPr="001C2DF8">
        <w:rPr>
          <w:color w:val="000000"/>
        </w:rPr>
        <w:t xml:space="preserve">ahol </w:t>
      </w:r>
      <w:r w:rsidR="00961B3F" w:rsidRPr="001C2DF8">
        <w:rPr>
          <w:color w:val="000000"/>
        </w:rPr>
        <w:t xml:space="preserve">közel </w:t>
      </w:r>
      <w:r w:rsidR="00FC3AE4" w:rsidRPr="001C2DF8">
        <w:rPr>
          <w:color w:val="000000"/>
        </w:rPr>
        <w:t>tízezer tudós</w:t>
      </w:r>
      <w:r w:rsidR="00961B3F" w:rsidRPr="001C2DF8">
        <w:rPr>
          <w:color w:val="000000"/>
        </w:rPr>
        <w:t xml:space="preserve"> </w:t>
      </w:r>
      <w:r w:rsidR="00FC3AE4" w:rsidRPr="001C2DF8">
        <w:rPr>
          <w:color w:val="000000"/>
        </w:rPr>
        <w:t xml:space="preserve">dolgozik </w:t>
      </w:r>
      <w:r w:rsidR="00961B3F" w:rsidRPr="001C2DF8">
        <w:rPr>
          <w:color w:val="000000"/>
        </w:rPr>
        <w:t>(1980 óta</w:t>
      </w:r>
      <w:r w:rsidR="00E50164" w:rsidRPr="001C2DF8">
        <w:rPr>
          <w:color w:val="000000"/>
        </w:rPr>
        <w:t>),</w:t>
      </w:r>
      <w:r w:rsidR="00DF1437" w:rsidRPr="001C2DF8">
        <w:rPr>
          <w:color w:val="000000"/>
        </w:rPr>
        <w:t xml:space="preserve"> másfelől </w:t>
      </w:r>
      <w:r w:rsidR="00FC3AE4" w:rsidRPr="001C2DF8">
        <w:rPr>
          <w:color w:val="000000"/>
        </w:rPr>
        <w:t>annak nagyobb</w:t>
      </w:r>
      <w:r w:rsidR="00DF1437" w:rsidRPr="001C2DF8">
        <w:rPr>
          <w:color w:val="000000"/>
        </w:rPr>
        <w:t xml:space="preserve"> méretű katonai-profilú</w:t>
      </w:r>
      <w:r w:rsidR="00FC3AE4" w:rsidRPr="001C2DF8">
        <w:rPr>
          <w:color w:val="000000"/>
        </w:rPr>
        <w:t xml:space="preserve"> hasonmása</w:t>
      </w:r>
      <w:r w:rsidR="00E50164" w:rsidRPr="001C2DF8">
        <w:rPr>
          <w:color w:val="000000"/>
        </w:rPr>
        <w:t>.</w:t>
      </w:r>
    </w:p>
    <w:p w:rsidR="009F0CB9" w:rsidRPr="001C2DF8" w:rsidRDefault="00961B3F" w:rsidP="007B70B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DF8">
        <w:rPr>
          <w:color w:val="000000"/>
        </w:rPr>
        <w:t>A nemzeti</w:t>
      </w:r>
      <w:r w:rsidR="009F0CB9" w:rsidRPr="001C2DF8">
        <w:rPr>
          <w:color w:val="000000"/>
        </w:rPr>
        <w:t xml:space="preserve"> felzárkózás politikai folyamatá</w:t>
      </w:r>
      <w:r w:rsidR="007F13C6">
        <w:rPr>
          <w:color w:val="000000"/>
        </w:rPr>
        <w:t>nak</w:t>
      </w:r>
      <w:r w:rsidR="009F0CB9" w:rsidRPr="001C2DF8">
        <w:rPr>
          <w:color w:val="000000"/>
        </w:rPr>
        <w:t xml:space="preserve"> a</w:t>
      </w:r>
      <w:r w:rsidRPr="001C2DF8">
        <w:rPr>
          <w:color w:val="000000"/>
        </w:rPr>
        <w:t xml:space="preserve"> lényege</w:t>
      </w:r>
      <w:r w:rsidR="009F0CB9" w:rsidRPr="001C2DF8">
        <w:rPr>
          <w:color w:val="000000"/>
        </w:rPr>
        <w:t xml:space="preserve"> </w:t>
      </w:r>
      <w:r w:rsidR="007F13C6">
        <w:rPr>
          <w:color w:val="000000"/>
        </w:rPr>
        <w:t>a</w:t>
      </w:r>
      <w:r w:rsidR="009F0CB9" w:rsidRPr="001C2DF8">
        <w:rPr>
          <w:color w:val="000000"/>
        </w:rPr>
        <w:t xml:space="preserve"> </w:t>
      </w:r>
      <w:r w:rsidR="007F13C6" w:rsidRPr="001C2DF8">
        <w:rPr>
          <w:color w:val="000000"/>
        </w:rPr>
        <w:t>fejl</w:t>
      </w:r>
      <w:r w:rsidR="007F13C6">
        <w:rPr>
          <w:color w:val="000000"/>
        </w:rPr>
        <w:t>esztő</w:t>
      </w:r>
      <w:r w:rsidR="007F13C6" w:rsidRPr="001C2DF8">
        <w:rPr>
          <w:color w:val="000000"/>
        </w:rPr>
        <w:t xml:space="preserve"> </w:t>
      </w:r>
      <w:r w:rsidRPr="001C2DF8">
        <w:rPr>
          <w:color w:val="000000"/>
        </w:rPr>
        <w:t>állam s</w:t>
      </w:r>
      <w:r w:rsidR="009F0CB9" w:rsidRPr="001C2DF8">
        <w:rPr>
          <w:color w:val="000000"/>
        </w:rPr>
        <w:t>zervezeti egységei</w:t>
      </w:r>
      <w:r w:rsidRPr="001C2DF8">
        <w:rPr>
          <w:color w:val="000000"/>
        </w:rPr>
        <w:t xml:space="preserve"> </w:t>
      </w:r>
      <w:r w:rsidR="007F13C6">
        <w:rPr>
          <w:color w:val="000000"/>
        </w:rPr>
        <w:t xml:space="preserve">közötti </w:t>
      </w:r>
      <w:r w:rsidRPr="001C2DF8">
        <w:rPr>
          <w:color w:val="000000"/>
        </w:rPr>
        <w:t>intenzív párbeszéd.</w:t>
      </w:r>
      <w:r w:rsidR="009F0CB9" w:rsidRPr="001C2DF8">
        <w:rPr>
          <w:color w:val="000000"/>
        </w:rPr>
        <w:t xml:space="preserve"> Korábban a Gazdasági Tervezési és Fejlesztési Tanács és az Ipar</w:t>
      </w:r>
      <w:r w:rsidR="009F02F7">
        <w:rPr>
          <w:color w:val="000000"/>
        </w:rPr>
        <w:t>f</w:t>
      </w:r>
      <w:r w:rsidR="009F0CB9" w:rsidRPr="001C2DF8">
        <w:rPr>
          <w:color w:val="000000"/>
        </w:rPr>
        <w:t xml:space="preserve">ejlesztési Hivatal irányító, míg a többi szervezet inkább végrehajtó szerepet játszott, </w:t>
      </w:r>
      <w:r w:rsidR="007E5515" w:rsidRPr="001C2DF8">
        <w:rPr>
          <w:color w:val="000000"/>
        </w:rPr>
        <w:t xml:space="preserve">ám </w:t>
      </w:r>
      <w:r w:rsidR="009F0CB9" w:rsidRPr="001C2DF8">
        <w:rPr>
          <w:color w:val="000000"/>
        </w:rPr>
        <w:t xml:space="preserve">a nyolcvanas évek végén kezdődő demokratizálódás óta a laboratóriumok és az iparszövetségek hatalma nagyobb. Mindez azért is alakulhatott így, mert a szellemi munka jelentős részét az </w:t>
      </w:r>
      <w:r w:rsidR="00D14DAF">
        <w:rPr>
          <w:color w:val="000000"/>
        </w:rPr>
        <w:t>ITRI</w:t>
      </w:r>
      <w:r w:rsidR="00D14DAF" w:rsidRPr="001C2DF8">
        <w:rPr>
          <w:color w:val="000000"/>
        </w:rPr>
        <w:t xml:space="preserve"> </w:t>
      </w:r>
      <w:r w:rsidR="009F0CB9" w:rsidRPr="001C2DF8">
        <w:rPr>
          <w:color w:val="000000"/>
        </w:rPr>
        <w:t xml:space="preserve">és az iparszövetségek közösen végzik el, ezzel is elősegítve a vállalatok közötti kapcsolati háló kiépülését és a tagok közötti biztonságos együttműködést.  </w:t>
      </w:r>
    </w:p>
    <w:p w:rsidR="00BD280F" w:rsidRPr="00882C4C" w:rsidRDefault="009F0CB9" w:rsidP="007B70B2">
      <w:pPr>
        <w:autoSpaceDE w:val="0"/>
        <w:autoSpaceDN w:val="0"/>
        <w:adjustRightInd w:val="0"/>
        <w:ind w:firstLine="708"/>
        <w:jc w:val="both"/>
      </w:pPr>
      <w:r w:rsidRPr="00882C4C">
        <w:rPr>
          <w:color w:val="000000"/>
        </w:rPr>
        <w:t>Általában úgy zajlik mindez, hogy az IT</w:t>
      </w:r>
      <w:r w:rsidR="00882C4C" w:rsidRPr="00882C4C">
        <w:rPr>
          <w:color w:val="000000"/>
        </w:rPr>
        <w:t>R</w:t>
      </w:r>
      <w:r w:rsidRPr="00882C4C">
        <w:rPr>
          <w:color w:val="000000"/>
        </w:rPr>
        <w:t>I kifejleszt valamilyen technológiát</w:t>
      </w:r>
      <w:r w:rsidR="00961B3F" w:rsidRPr="00882C4C">
        <w:t xml:space="preserve"> (például:</w:t>
      </w:r>
      <w:r w:rsidRPr="00882C4C">
        <w:t xml:space="preserve"> egy olyan chipet, mint amilyen a</w:t>
      </w:r>
      <w:r w:rsidR="00961B3F" w:rsidRPr="00882C4C">
        <w:t xml:space="preserve"> </w:t>
      </w:r>
      <w:r w:rsidR="00882C4C" w:rsidRPr="00CA072D">
        <w:rPr>
          <w:i/>
        </w:rPr>
        <w:t>Radio Frequency Information Device</w:t>
      </w:r>
      <w:r w:rsidR="00CA072D">
        <w:rPr>
          <w:rStyle w:val="Lbjegyzet-hivatkozs"/>
        </w:rPr>
        <w:footnoteReference w:id="6"/>
      </w:r>
      <w:r w:rsidR="007E5515" w:rsidRPr="00882C4C">
        <w:t>) és</w:t>
      </w:r>
      <w:r w:rsidRPr="00882C4C">
        <w:t xml:space="preserve"> forgalmazásra alkalmas</w:t>
      </w:r>
      <w:r w:rsidR="00961B3F" w:rsidRPr="00882C4C">
        <w:t xml:space="preserve"> állapotba hozza</w:t>
      </w:r>
      <w:r w:rsidRPr="00882C4C">
        <w:t xml:space="preserve"> azt</w:t>
      </w:r>
      <w:r w:rsidR="00961B3F" w:rsidRPr="00882C4C">
        <w:t xml:space="preserve">, </w:t>
      </w:r>
      <w:r w:rsidR="00087240" w:rsidRPr="00882C4C">
        <w:t>majd egy általa kiválasztott kvázi magánvállakozásnak rész</w:t>
      </w:r>
      <w:r w:rsidR="00882C4C" w:rsidRPr="00882C4C">
        <w:t>tulajdon</w:t>
      </w:r>
      <w:r w:rsidR="00087240" w:rsidRPr="00882C4C">
        <w:t xml:space="preserve"> fejében átadja a szabadalmakat. E vállalkozásokat gyakran az ITKI teljes vagy részmunkaidős munkatársai vezetik. </w:t>
      </w:r>
      <w:r w:rsidR="00882C4C" w:rsidRPr="00882C4C">
        <w:t>Ezt az eljárást gyakran alkalmazzák olyan szűk keresztmetszetet jelentő összetevők importjának helyettesítésére</w:t>
      </w:r>
      <w:r w:rsidR="00087240" w:rsidRPr="00882C4C">
        <w:t xml:space="preserve">, </w:t>
      </w:r>
      <w:r w:rsidR="00882C4C" w:rsidRPr="00882C4C">
        <w:t>melyek behozatalában</w:t>
      </w:r>
      <w:r w:rsidR="00087240" w:rsidRPr="00882C4C">
        <w:t xml:space="preserve"> </w:t>
      </w:r>
      <w:r w:rsidR="00882C4C" w:rsidRPr="00882C4C">
        <w:t xml:space="preserve">tapasztalható </w:t>
      </w:r>
      <w:r w:rsidR="00087240" w:rsidRPr="00882C4C">
        <w:t xml:space="preserve">folyamatos késedelmek rontják Tajvan belépési esélyeit </w:t>
      </w:r>
      <w:r w:rsidR="00961B3F" w:rsidRPr="00882C4C">
        <w:t xml:space="preserve">a </w:t>
      </w:r>
      <w:r w:rsidR="00882C4C" w:rsidRPr="00882C4C">
        <w:t xml:space="preserve">magasabb hozzáadott értéket előállító </w:t>
      </w:r>
      <w:r w:rsidR="00961B3F" w:rsidRPr="00882C4C">
        <w:t>ágazatokba.</w:t>
      </w:r>
      <w:r w:rsidR="00882C4C" w:rsidRPr="00882C4C">
        <w:t xml:space="preserve"> Így az állam átvállalja forgalomba hozatal előtt felmerülő kutatás-fejlesztési kockázatok jelentős részét.</w:t>
      </w:r>
    </w:p>
    <w:p w:rsidR="00910D21" w:rsidRDefault="00087240" w:rsidP="007B70B2">
      <w:pPr>
        <w:autoSpaceDE w:val="0"/>
        <w:autoSpaceDN w:val="0"/>
        <w:adjustRightInd w:val="0"/>
        <w:ind w:firstLine="708"/>
        <w:jc w:val="both"/>
      </w:pPr>
      <w:r w:rsidRPr="001C2DF8">
        <w:t xml:space="preserve">Különös figyelmet szentelnek a </w:t>
      </w:r>
      <w:r w:rsidR="00631FBD">
        <w:t xml:space="preserve">helyi </w:t>
      </w:r>
      <w:r w:rsidRPr="001C2DF8">
        <w:t>tulajdon</w:t>
      </w:r>
      <w:r w:rsidR="00631FBD">
        <w:t>ban lévő</w:t>
      </w:r>
      <w:r w:rsidRPr="001C2DF8">
        <w:t xml:space="preserve"> vállalatok</w:t>
      </w:r>
      <w:r w:rsidR="00631FBD">
        <w:t>ra</w:t>
      </w:r>
      <w:r w:rsidRPr="001C2DF8">
        <w:t xml:space="preserve"> és ügyelnek a külföldi cégek (pl. a külföldi szolgáltató cégek) </w:t>
      </w:r>
      <w:r w:rsidR="00910D21">
        <w:t>növekedésének</w:t>
      </w:r>
      <w:r w:rsidR="00910D21" w:rsidRPr="001C2DF8">
        <w:t xml:space="preserve"> </w:t>
      </w:r>
      <w:r w:rsidRPr="001C2DF8">
        <w:t>korlátozására.</w:t>
      </w:r>
      <w:r w:rsidR="00BD280F" w:rsidRPr="001C2DF8">
        <w:t xml:space="preserve"> </w:t>
      </w:r>
      <w:r w:rsidR="00961B3F" w:rsidRPr="001C2DF8">
        <w:t xml:space="preserve">A </w:t>
      </w:r>
      <w:r w:rsidR="00631FBD">
        <w:t>fejlesztő állam</w:t>
      </w:r>
      <w:r w:rsidR="00961B3F" w:rsidRPr="001C2DF8">
        <w:t xml:space="preserve"> apparátusa egyfolytában </w:t>
      </w:r>
      <w:r w:rsidR="009A2F8C">
        <w:t>igyekszik előmozdítani</w:t>
      </w:r>
      <w:r w:rsidR="00BD280F" w:rsidRPr="001C2DF8">
        <w:t xml:space="preserve"> </w:t>
      </w:r>
      <w:r w:rsidR="00F76EA6" w:rsidRPr="001C2DF8">
        <w:t xml:space="preserve">a </w:t>
      </w:r>
      <w:r w:rsidR="00BD280F" w:rsidRPr="001C2DF8">
        <w:t>(Tajvanon vagy máshol székelő) külföldi cégektől a hazai vállalkozások</w:t>
      </w:r>
      <w:r w:rsidR="009A2F8C">
        <w:t xml:space="preserve"> irányába haladó technológiatranszfert.</w:t>
      </w:r>
      <w:r w:rsidR="00BD280F" w:rsidRPr="001C2DF8">
        <w:t xml:space="preserve"> </w:t>
      </w:r>
      <w:r w:rsidR="007E5515" w:rsidRPr="001C2DF8">
        <w:t xml:space="preserve">Mindeközben </w:t>
      </w:r>
      <w:r w:rsidR="00F76EA6" w:rsidRPr="001C2DF8">
        <w:t xml:space="preserve">az apparátus </w:t>
      </w:r>
      <w:r w:rsidR="009A2F8C">
        <w:t>nagy erőkkel dolgozik azon is, hogy elősegítse</w:t>
      </w:r>
      <w:r w:rsidR="00961B3F" w:rsidRPr="001C2DF8">
        <w:t xml:space="preserve"> </w:t>
      </w:r>
      <w:r w:rsidR="009A2F8C">
        <w:t xml:space="preserve">a </w:t>
      </w:r>
      <w:r w:rsidR="00F76EA6" w:rsidRPr="001C2DF8">
        <w:t xml:space="preserve">tajvani cégek </w:t>
      </w:r>
      <w:r w:rsidR="009A2F8C">
        <w:t>külföldi működőtőke beruházásait, í</w:t>
      </w:r>
      <w:r w:rsidR="00961B3F" w:rsidRPr="001C2DF8">
        <w:t xml:space="preserve">gy </w:t>
      </w:r>
      <w:r w:rsidR="00F76EA6" w:rsidRPr="001C2DF8">
        <w:t xml:space="preserve">Tajvan </w:t>
      </w:r>
      <w:r w:rsidR="009A2F8C">
        <w:t>aktív, reciprok szereplője a világgazdaságnak</w:t>
      </w:r>
      <w:r w:rsidR="00E51595" w:rsidRPr="001C2DF8">
        <w:t>, ami nem így lenne, ha</w:t>
      </w:r>
      <w:r w:rsidR="00AD63CC" w:rsidRPr="001C2DF8">
        <w:t xml:space="preserve"> </w:t>
      </w:r>
      <w:r w:rsidR="009A2F8C">
        <w:t xml:space="preserve">pusztán a </w:t>
      </w:r>
      <w:r w:rsidR="007E5515" w:rsidRPr="001C2DF8">
        <w:t xml:space="preserve">külföldi </w:t>
      </w:r>
      <w:r w:rsidR="009A2F8C">
        <w:t>működőtőke</w:t>
      </w:r>
      <w:r w:rsidR="009A2F8C" w:rsidRPr="001C2DF8">
        <w:t xml:space="preserve"> </w:t>
      </w:r>
      <w:r w:rsidR="009A2F8C">
        <w:t>becsalogatására koncentrálna</w:t>
      </w:r>
      <w:r w:rsidR="007E5515" w:rsidRPr="001C2DF8">
        <w:t>.</w:t>
      </w:r>
      <w:r w:rsidR="00AD63CC" w:rsidRPr="001C2DF8">
        <w:t xml:space="preserve"> </w:t>
      </w:r>
      <w:r w:rsidR="00E51595" w:rsidRPr="001C2DF8">
        <w:t xml:space="preserve">A </w:t>
      </w:r>
      <w:r w:rsidR="009A2F8C">
        <w:t xml:space="preserve">külföldre áramló </w:t>
      </w:r>
      <w:r w:rsidR="00E51595" w:rsidRPr="001C2DF8">
        <w:t xml:space="preserve">tajvani beruházások </w:t>
      </w:r>
      <w:r w:rsidR="009A2F8C">
        <w:t>elsősorban</w:t>
      </w:r>
      <w:r w:rsidR="00E51595" w:rsidRPr="001C2DF8">
        <w:t xml:space="preserve"> Kínát érintik, de az ország jelentős tőkét halmozott fel más fejlődő régiókban és (Japánt leszámítva) a világgazdaság meghatározó színterein is.</w:t>
      </w:r>
    </w:p>
    <w:p w:rsidR="00304A53" w:rsidRDefault="00304A53" w:rsidP="007B70B2">
      <w:pPr>
        <w:autoSpaceDE w:val="0"/>
        <w:autoSpaceDN w:val="0"/>
        <w:adjustRightInd w:val="0"/>
        <w:ind w:firstLine="708"/>
        <w:jc w:val="both"/>
      </w:pPr>
      <w:r w:rsidRPr="00304A53">
        <w:t xml:space="preserve">A háttérben meghúzódó versenystratégi arra a felismerésre alapoz, hogy a világ technológiai színvonalától elmaradó hazai vállatoknak csak akkor van esélyük, ha későn indulókként is szert tesznek bizonyos előnyökre. A hamar indulók márkanevekből származó előnyét egyelőre nem tudják behozni, arra azonban képesek lehetnek, hogy a hamar indulók csúcstermékeit lemásolják, hogy különleges gyártmányaik előállítását felgyorsítsák, hogy kiaknázzák a méretgazdaságosság előnyeit mielőtt a profitráta zuhanni kezd az adott iparágban. E stratégiához nagy cégekre – s nem a kis és középvállalkozások hálózatára – van egyre nagyobb szükség.  Olyan nagy cégek kellenek, amelyek tömegtermelésre képesek, s amelyek elég nagyok ahhoz, hogy az elsőként mozdulók alvállalkozóként tekinthessenek rájuk (Amsden és Chu, 2003). </w:t>
      </w:r>
    </w:p>
    <w:p w:rsidR="00961B3F" w:rsidRPr="001C2DF8" w:rsidRDefault="00961B3F" w:rsidP="007B70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1C2DF8">
        <w:t>A kormány szerepe</w:t>
      </w:r>
      <w:r w:rsidR="008856CF" w:rsidRPr="001C2DF8">
        <w:t xml:space="preserve"> az</w:t>
      </w:r>
      <w:r w:rsidRPr="001C2DF8">
        <w:t>, hogy az ipa</w:t>
      </w:r>
      <w:r w:rsidR="00501E34" w:rsidRPr="001C2DF8">
        <w:t>r</w:t>
      </w:r>
      <w:r w:rsidRPr="001C2DF8">
        <w:t xml:space="preserve">politika mindhárom korábban </w:t>
      </w:r>
      <w:r w:rsidR="00304A53">
        <w:t>bemutatott változatát alkalmazza</w:t>
      </w:r>
      <w:r w:rsidRPr="001C2DF8">
        <w:t xml:space="preserve">. </w:t>
      </w:r>
      <w:r w:rsidR="00304A53" w:rsidRPr="00D64266">
        <w:t xml:space="preserve">Mindenekelőtt </w:t>
      </w:r>
      <w:r w:rsidRPr="00D64266">
        <w:t>„ipari komplexumok”</w:t>
      </w:r>
      <w:r w:rsidR="008856CF" w:rsidRPr="00D64266">
        <w:t>,</w:t>
      </w:r>
      <w:r w:rsidRPr="00D64266">
        <w:t xml:space="preserve"> „városi </w:t>
      </w:r>
      <w:r w:rsidR="00304A53" w:rsidRPr="00D64266">
        <w:t>közjavak</w:t>
      </w:r>
      <w:r w:rsidRPr="00D64266">
        <w:t xml:space="preserve">” </w:t>
      </w:r>
      <w:r w:rsidR="00304A53" w:rsidRPr="00D64266">
        <w:t>illetve</w:t>
      </w:r>
      <w:r w:rsidRPr="00D64266">
        <w:t xml:space="preserve"> „növekedési centrumok” </w:t>
      </w:r>
      <w:r w:rsidR="00304A53" w:rsidRPr="00D64266">
        <w:t>létrehozására kell koncentrálnia; valamint elő kell mozdítania</w:t>
      </w:r>
      <w:r w:rsidR="00D64266" w:rsidRPr="00D64266">
        <w:t xml:space="preserve"> – gyakran akár ágazat-specifikus vagy egyenesen vállalat-specifikus eszközök révén –</w:t>
      </w:r>
      <w:r w:rsidR="00304A53" w:rsidRPr="00D64266">
        <w:t>, hogy</w:t>
      </w:r>
      <w:r w:rsidR="008856CF" w:rsidRPr="00D64266">
        <w:t xml:space="preserve"> </w:t>
      </w:r>
      <w:r w:rsidR="00304A53" w:rsidRPr="00D64266">
        <w:t xml:space="preserve">az </w:t>
      </w:r>
      <w:r w:rsidR="008856CF" w:rsidRPr="00D64266">
        <w:t>ipari vagy szolgáltató ágazat</w:t>
      </w:r>
      <w:r w:rsidR="00304A53" w:rsidRPr="00D64266">
        <w:t>ok szereplői</w:t>
      </w:r>
      <w:r w:rsidR="008856CF" w:rsidRPr="00D64266">
        <w:t xml:space="preserve"> </w:t>
      </w:r>
      <w:r w:rsidR="00304A53" w:rsidRPr="00D64266">
        <w:t>a globális értékláncba magasabb hozzáadott érték előállításával csatlakozzanak.</w:t>
      </w:r>
      <w:r w:rsidR="008856CF" w:rsidRPr="00D64266">
        <w:t xml:space="preserve"> </w:t>
      </w:r>
      <w:r w:rsidR="00B65DB9" w:rsidRPr="00D64266">
        <w:t>(Ilyen</w:t>
      </w:r>
      <w:r w:rsidR="00D64266">
        <w:t>ek</w:t>
      </w:r>
      <w:r w:rsidR="00B65DB9" w:rsidRPr="00D64266">
        <w:t xml:space="preserve"> </w:t>
      </w:r>
      <w:r w:rsidRPr="00D64266">
        <w:t>az ipari termeléssel</w:t>
      </w:r>
      <w:r w:rsidR="00B65DB9" w:rsidRPr="00D64266">
        <w:t xml:space="preserve"> összefüggő szolgáltató ágazat</w:t>
      </w:r>
      <w:r w:rsidR="00D64266" w:rsidRPr="00D64266">
        <w:t>ok</w:t>
      </w:r>
      <w:r w:rsidRPr="00D64266">
        <w:t xml:space="preserve">,  </w:t>
      </w:r>
      <w:r w:rsidR="00D64266" w:rsidRPr="00D64266">
        <w:t>p</w:t>
      </w:r>
      <w:r w:rsidR="00D64266">
        <w:t>éldául</w:t>
      </w:r>
      <w:r w:rsidR="00D64266" w:rsidRPr="00D64266">
        <w:t xml:space="preserve"> a</w:t>
      </w:r>
      <w:r w:rsidRPr="00D64266">
        <w:t xml:space="preserve"> korábban említett </w:t>
      </w:r>
      <w:r w:rsidR="00D64266" w:rsidRPr="00D64266">
        <w:t xml:space="preserve">Radio Frequency Information Device </w:t>
      </w:r>
      <w:r w:rsidR="00B65DB9" w:rsidRPr="00D64266">
        <w:t>kifejleszt</w:t>
      </w:r>
      <w:r w:rsidR="00D64266" w:rsidRPr="00D64266">
        <w:t>ése</w:t>
      </w:r>
      <w:r w:rsidR="00B65DB9" w:rsidRPr="00D64266">
        <w:t>.)</w:t>
      </w:r>
      <w:r w:rsidRPr="001C2DF8">
        <w:t xml:space="preserve"> </w:t>
      </w:r>
      <w:r w:rsidR="000E75AB">
        <w:t>(</w:t>
      </w:r>
      <w:r w:rsidR="000E75AB" w:rsidRPr="0082043C">
        <w:t xml:space="preserve">Weiss és Thurbon, </w:t>
      </w:r>
      <w:r w:rsidR="000E75AB">
        <w:t>2004)</w:t>
      </w:r>
      <w:r w:rsidRPr="001C2DF8">
        <w:t xml:space="preserve"> </w:t>
      </w:r>
    </w:p>
    <w:p w:rsidR="00961B3F" w:rsidRPr="001C2DF8" w:rsidRDefault="00961B3F" w:rsidP="007B70B2">
      <w:pPr>
        <w:autoSpaceDE w:val="0"/>
        <w:autoSpaceDN w:val="0"/>
        <w:adjustRightInd w:val="0"/>
        <w:ind w:firstLine="708"/>
        <w:jc w:val="both"/>
      </w:pPr>
      <w:r w:rsidRPr="001C2DF8">
        <w:t xml:space="preserve">Tajvan, Szingapúr, Japán és Kína a </w:t>
      </w:r>
      <w:r w:rsidR="00631FBD">
        <w:t>fejlesztő állam</w:t>
      </w:r>
      <w:r w:rsidRPr="001C2DF8">
        <w:t xml:space="preserve"> legfőbb vonásait </w:t>
      </w:r>
      <w:r w:rsidR="00CA072D">
        <w:t xml:space="preserve">továbbra </w:t>
      </w:r>
      <w:r w:rsidRPr="001C2DF8">
        <w:t xml:space="preserve">is megőrizte. </w:t>
      </w:r>
      <w:r w:rsidR="00B65DB9" w:rsidRPr="001C2DF8">
        <w:t>A Dél-Kore</w:t>
      </w:r>
      <w:r w:rsidR="00CA072D">
        <w:t>a, a fejlesztő állam egykori modellje,</w:t>
      </w:r>
      <w:r w:rsidR="00B65DB9" w:rsidRPr="001C2DF8">
        <w:t xml:space="preserve"> </w:t>
      </w:r>
      <w:r w:rsidR="00CA072D">
        <w:t xml:space="preserve">ugyanakkor bizonyos mértékben </w:t>
      </w:r>
      <w:r w:rsidR="00CA072D">
        <w:lastRenderedPageBreak/>
        <w:t>eltávolodott e stratégiától</w:t>
      </w:r>
      <w:r w:rsidR="00B65DB9" w:rsidRPr="001C2DF8">
        <w:t>. Ez a folyamat a nyolcvanas évek végén, a demokratizálódással vette kezdetét, a katonai</w:t>
      </w:r>
      <w:r w:rsidR="007E5515" w:rsidRPr="001C2DF8">
        <w:t xml:space="preserve"> </w:t>
      </w:r>
      <w:r w:rsidR="00B65DB9" w:rsidRPr="001C2DF8">
        <w:t xml:space="preserve">– és azzal együtt a köztisztviselői – hatalom hitelvesztésével. </w:t>
      </w:r>
      <w:r w:rsidR="006B09BC" w:rsidRPr="001C2DF8">
        <w:t xml:space="preserve">Mintha valamiféle divathullám söpört volna végig, számtalan koreai közgazdász és köztisztviselő a neoliberális gazdaságtan </w:t>
      </w:r>
      <w:r w:rsidR="007E5515" w:rsidRPr="001C2DF8">
        <w:t xml:space="preserve">amolyan </w:t>
      </w:r>
      <w:r w:rsidR="006B09BC" w:rsidRPr="001C2DF8">
        <w:t xml:space="preserve">fundamentalista formája fele fordult, </w:t>
      </w:r>
      <w:r w:rsidR="007E5515" w:rsidRPr="001C2DF8">
        <w:t xml:space="preserve">s </w:t>
      </w:r>
      <w:r w:rsidR="006B09BC" w:rsidRPr="001C2DF8">
        <w:t xml:space="preserve">a modern hittérők szerepében Amerikában képzett koreai közgazdászok tűntek fel. Hitükben az is megerősítette őket, hogy a Samsunghoz hasonló nagy korai konglomerátumok érdekeit tartották szemük előtt, amelyek szervezeti és technológiai bonyolultságuk okán az államot egyre inkább akadálynak, mintsem segítségnek tekintették. Ráadásul a G7 államai éberen figyelték az országot, s egy „újabb Japán” veszélyével riogatva követelték Koreától, hogy nyissa meg piacait.  </w:t>
      </w:r>
      <w:r w:rsidRPr="001C2DF8">
        <w:t>1995-re a Gazdasági Tervező Testület</w:t>
      </w:r>
      <w:r w:rsidR="001C7122" w:rsidRPr="001C2DF8">
        <w:t>et</w:t>
      </w:r>
      <w:r w:rsidR="00CA072D">
        <w:t xml:space="preserve"> (Economic Planning Board)</w:t>
      </w:r>
      <w:r w:rsidRPr="001C2DF8">
        <w:t xml:space="preserve"> – a hatva</w:t>
      </w:r>
      <w:r w:rsidR="006B09BC" w:rsidRPr="001C2DF8">
        <w:t>nas évek elejétől működő irányító központ</w:t>
      </w:r>
      <w:r w:rsidR="007E5515" w:rsidRPr="001C2DF8">
        <w:t>ot</w:t>
      </w:r>
      <w:r w:rsidR="006B09BC" w:rsidRPr="001C2DF8">
        <w:t xml:space="preserve"> </w:t>
      </w:r>
      <w:r w:rsidR="00501E34" w:rsidRPr="001C2DF8">
        <w:t xml:space="preserve">– </w:t>
      </w:r>
      <w:r w:rsidR="001C7122" w:rsidRPr="001C2DF8">
        <w:t>lényegében megszüntették,</w:t>
      </w:r>
      <w:r w:rsidRPr="001C2DF8">
        <w:t xml:space="preserve"> </w:t>
      </w:r>
      <w:r w:rsidR="001C7122" w:rsidRPr="001C2DF8">
        <w:t xml:space="preserve">a tőkepiac nagyobb részét pedig megnyitották </w:t>
      </w:r>
      <w:r w:rsidRPr="001C2DF8">
        <w:t xml:space="preserve">a külföldi hitelezők és a külföldi pénzügyi szolgáltató cégek előtt. </w:t>
      </w:r>
    </w:p>
    <w:p w:rsidR="001C7122" w:rsidRPr="001C2DF8" w:rsidRDefault="001C7122" w:rsidP="007B70B2">
      <w:pPr>
        <w:autoSpaceDE w:val="0"/>
        <w:autoSpaceDN w:val="0"/>
        <w:adjustRightInd w:val="0"/>
        <w:ind w:firstLine="708"/>
        <w:jc w:val="both"/>
      </w:pPr>
      <w:r w:rsidRPr="001C2DF8">
        <w:t xml:space="preserve">Ám </w:t>
      </w:r>
      <w:r w:rsidR="00961B3F" w:rsidRPr="001C2DF8">
        <w:t>Koreában sem minden az, aminek látszik. A piac kormányzásána</w:t>
      </w:r>
      <w:r w:rsidRPr="001C2DF8">
        <w:t xml:space="preserve">k elveit továbbra is szem előtt tartják. Ez azt jelenti, </w:t>
      </w:r>
      <w:r w:rsidR="00961B3F" w:rsidRPr="001C2DF8">
        <w:t xml:space="preserve">hogy a kormányzat </w:t>
      </w:r>
      <w:r w:rsidRPr="001C2DF8">
        <w:t>megőrizte legitim</w:t>
      </w:r>
      <w:r w:rsidR="00961B3F" w:rsidRPr="001C2DF8">
        <w:t xml:space="preserve"> szerepét, </w:t>
      </w:r>
      <w:r w:rsidRPr="001C2DF8">
        <w:t xml:space="preserve">amelynek megfelelően </w:t>
      </w:r>
      <w:r w:rsidR="00961B3F" w:rsidRPr="001C2DF8">
        <w:t xml:space="preserve">irányítja és igazgatja a magánszektort – </w:t>
      </w:r>
      <w:r w:rsidRPr="001C2DF8">
        <w:t xml:space="preserve">ha nem is az eredményeket szem előtt tartó parancsnok módjára (mint régebben), </w:t>
      </w:r>
      <w:r w:rsidR="007E5515" w:rsidRPr="001C2DF8">
        <w:t xml:space="preserve">ám </w:t>
      </w:r>
      <w:r w:rsidRPr="001C2DF8">
        <w:t xml:space="preserve">a kormány és az autonóm, egymástól ugyanakkor kölcsönösen függő cégek közötti együttműködést </w:t>
      </w:r>
      <w:r w:rsidR="007E5515" w:rsidRPr="001C2DF8">
        <w:t xml:space="preserve">azért </w:t>
      </w:r>
      <w:r w:rsidRPr="001C2DF8">
        <w:t xml:space="preserve">ő koordinálja.   </w:t>
      </w:r>
    </w:p>
    <w:p w:rsidR="004656E1" w:rsidRDefault="007E5515" w:rsidP="004656E1">
      <w:pPr>
        <w:autoSpaceDE w:val="0"/>
        <w:autoSpaceDN w:val="0"/>
        <w:adjustRightInd w:val="0"/>
        <w:jc w:val="both"/>
      </w:pPr>
      <w:r w:rsidRPr="001C2DF8">
        <w:t xml:space="preserve">A </w:t>
      </w:r>
      <w:r w:rsidR="00961B3F" w:rsidRPr="001C2DF8">
        <w:t xml:space="preserve">telekommunikáció </w:t>
      </w:r>
      <w:r w:rsidR="001C7122" w:rsidRPr="001C2DF8">
        <w:t>liberalizációja</w:t>
      </w:r>
      <w:r w:rsidRPr="001C2DF8">
        <w:t xml:space="preserve"> jó példa arra, hogyan is zajlik ez.</w:t>
      </w:r>
      <w:r w:rsidR="001C7122" w:rsidRPr="001C2DF8">
        <w:t xml:space="preserve"> </w:t>
      </w:r>
      <w:r w:rsidR="00961B3F" w:rsidRPr="001C2DF8">
        <w:t>A kilencvenes évek</w:t>
      </w:r>
      <w:r w:rsidR="001C7122" w:rsidRPr="001C2DF8">
        <w:t xml:space="preserve">et megelőzően </w:t>
      </w:r>
      <w:r w:rsidR="00961B3F" w:rsidRPr="001C2DF8">
        <w:t>a távközlési szolgáltatásokért Koreában egy állami vállalat</w:t>
      </w:r>
      <w:r w:rsidR="001C7122" w:rsidRPr="001C2DF8">
        <w:t xml:space="preserve"> fele</w:t>
      </w:r>
      <w:r w:rsidR="00C636A7" w:rsidRPr="001C2DF8">
        <w:t>l</w:t>
      </w:r>
      <w:r w:rsidR="001C7122" w:rsidRPr="001C2DF8">
        <w:t xml:space="preserve">t, </w:t>
      </w:r>
      <w:r w:rsidR="00C636A7" w:rsidRPr="001C2DF8">
        <w:t>amelyet a kormányzat a s</w:t>
      </w:r>
      <w:r w:rsidR="00961B3F" w:rsidRPr="001C2DF8">
        <w:t xml:space="preserve">zolgáltatások és felszerelések </w:t>
      </w:r>
      <w:r w:rsidR="00C636A7" w:rsidRPr="001C2DF8">
        <w:t>szigorú szabályozása révén</w:t>
      </w:r>
      <w:r w:rsidR="00961B3F" w:rsidRPr="001C2DF8">
        <w:t xml:space="preserve"> </w:t>
      </w:r>
      <w:r w:rsidRPr="001C2DF8">
        <w:t xml:space="preserve">jóideig </w:t>
      </w:r>
      <w:r w:rsidR="00961B3F" w:rsidRPr="001C2DF8">
        <w:t>támogatott.</w:t>
      </w:r>
      <w:r w:rsidR="00C636A7" w:rsidRPr="001C2DF8">
        <w:t xml:space="preserve"> Ezt követően</w:t>
      </w:r>
      <w:r w:rsidR="00961B3F" w:rsidRPr="001C2DF8">
        <w:t xml:space="preserve"> a nyolcvanas évek végén, a kilencvenes évek elején megjelentek a világban a</w:t>
      </w:r>
      <w:r w:rsidR="00C636A7" w:rsidRPr="001C2DF8">
        <w:t>z</w:t>
      </w:r>
      <w:r w:rsidR="00961B3F" w:rsidRPr="001C2DF8">
        <w:t xml:space="preserve"> új technológiák, a digitális mobil távközlés</w:t>
      </w:r>
      <w:r w:rsidR="00C636A7" w:rsidRPr="001C2DF8">
        <w:t>i rendszerek</w:t>
      </w:r>
      <w:r w:rsidR="00961B3F" w:rsidRPr="001C2DF8">
        <w:t xml:space="preserve">. </w:t>
      </w:r>
      <w:r w:rsidR="004656E1">
        <w:t>Ez azzal kecsegtetett, hogy</w:t>
      </w:r>
      <w:r w:rsidR="00961B3F" w:rsidRPr="001C2DF8">
        <w:t xml:space="preserve"> a mobil szolgáltatások és az azokhoz kapcsolódó infrastruktúr</w:t>
      </w:r>
      <w:r w:rsidR="004656E1">
        <w:t>a</w:t>
      </w:r>
      <w:r w:rsidR="00961B3F" w:rsidRPr="001C2DF8">
        <w:t xml:space="preserve"> </w:t>
      </w:r>
      <w:r w:rsidR="004656E1">
        <w:t>iránti kereslet megugrik</w:t>
      </w:r>
      <w:r w:rsidR="00961B3F" w:rsidRPr="001C2DF8">
        <w:t xml:space="preserve">. A konglomerátumok </w:t>
      </w:r>
      <w:r w:rsidR="004656E1">
        <w:t>telekom cégekbe kívántak szerveződni, növelve a diverzitást</w:t>
      </w:r>
      <w:r w:rsidR="00961B3F" w:rsidRPr="001C2DF8">
        <w:t xml:space="preserve">. </w:t>
      </w:r>
      <w:r w:rsidR="00C636A7" w:rsidRPr="001C2DF8">
        <w:t>Nem csupán az</w:t>
      </w:r>
      <w:r w:rsidR="00961B3F" w:rsidRPr="001C2DF8">
        <w:t xml:space="preserve"> amerikai kormány </w:t>
      </w:r>
      <w:r w:rsidR="00C636A7" w:rsidRPr="001C2DF8">
        <w:t xml:space="preserve">gyakorolt </w:t>
      </w:r>
      <w:r w:rsidRPr="001C2DF8">
        <w:t xml:space="preserve">nyomást </w:t>
      </w:r>
      <w:r w:rsidR="00C636A7" w:rsidRPr="001C2DF8">
        <w:t>Koreára</w:t>
      </w:r>
      <w:r w:rsidR="00961B3F" w:rsidRPr="001C2DF8">
        <w:t xml:space="preserve">, hogy az nyissa meg távközlési piacát az amerikai cégek előtt, </w:t>
      </w:r>
      <w:r w:rsidR="00C636A7" w:rsidRPr="001C2DF8">
        <w:t>a</w:t>
      </w:r>
      <w:r w:rsidRPr="001C2DF8">
        <w:t>z ország</w:t>
      </w:r>
      <w:r w:rsidR="00C636A7" w:rsidRPr="001C2DF8">
        <w:t xml:space="preserve"> GATT/WTO tagság</w:t>
      </w:r>
      <w:r w:rsidRPr="001C2DF8">
        <w:t>a</w:t>
      </w:r>
      <w:r w:rsidR="00C636A7" w:rsidRPr="001C2DF8">
        <w:t xml:space="preserve"> is ezen múlhatott. </w:t>
      </w:r>
    </w:p>
    <w:p w:rsidR="007D75F9" w:rsidRPr="001C2DF8" w:rsidRDefault="004656E1" w:rsidP="004656E1">
      <w:pPr>
        <w:autoSpaceDE w:val="0"/>
        <w:autoSpaceDN w:val="0"/>
        <w:adjustRightInd w:val="0"/>
        <w:ind w:firstLine="709"/>
        <w:jc w:val="both"/>
      </w:pPr>
      <w:r w:rsidRPr="004656E1">
        <w:t xml:space="preserve">Mindezen okok miatt a koreai kormány privatizálta és liberalizálta az ágazatot. </w:t>
      </w:r>
      <w:r>
        <w:t>C</w:t>
      </w:r>
      <w:r w:rsidR="00F32FE8" w:rsidRPr="001C2DF8">
        <w:t xml:space="preserve">sakhogy </w:t>
      </w:r>
      <w:r w:rsidR="00961B3F" w:rsidRPr="001C2DF8">
        <w:t>a korm</w:t>
      </w:r>
      <w:r w:rsidR="00F32FE8" w:rsidRPr="001C2DF8">
        <w:t>ány azt is felismerte, hogy a távközlés</w:t>
      </w:r>
      <w:r w:rsidR="00961B3F" w:rsidRPr="001C2DF8">
        <w:t xml:space="preserve"> a világ </w:t>
      </w:r>
      <w:r w:rsidR="00F32FE8" w:rsidRPr="001C2DF8">
        <w:t>„</w:t>
      </w:r>
      <w:r w:rsidR="00961B3F" w:rsidRPr="001C2DF8">
        <w:t>vezető ágazata</w:t>
      </w:r>
      <w:r w:rsidR="007E5515" w:rsidRPr="001C2DF8">
        <w:t xml:space="preserve">” lesz a következő évtizedekben, és </w:t>
      </w:r>
      <w:r w:rsidR="00961B3F" w:rsidRPr="001C2DF8">
        <w:t xml:space="preserve">hogy </w:t>
      </w:r>
      <w:r w:rsidR="00F32FE8" w:rsidRPr="001C2DF8">
        <w:t xml:space="preserve">az országnak fenn kell tartania </w:t>
      </w:r>
      <w:r w:rsidR="00961B3F" w:rsidRPr="001C2DF8">
        <w:t xml:space="preserve">a koreai </w:t>
      </w:r>
      <w:r w:rsidR="00F32FE8" w:rsidRPr="001C2DF8">
        <w:t xml:space="preserve">tulajdonú cégek erős jelenlétét a piacon. </w:t>
      </w:r>
      <w:r w:rsidR="00961B3F" w:rsidRPr="001C2DF8">
        <w:t>A</w:t>
      </w:r>
      <w:r w:rsidR="00F32FE8" w:rsidRPr="001C2DF8">
        <w:t>z ország a</w:t>
      </w:r>
      <w:r w:rsidR="00961B3F" w:rsidRPr="001C2DF8">
        <w:t xml:space="preserve"> liberalizációt azzal kezdte, hogy egy </w:t>
      </w:r>
      <w:r w:rsidR="00CD3BF2" w:rsidRPr="001C2DF8">
        <w:t xml:space="preserve">újabb </w:t>
      </w:r>
      <w:r w:rsidR="00961B3F" w:rsidRPr="001C2DF8">
        <w:t>állami vállalatot</w:t>
      </w:r>
      <w:r w:rsidR="00F32FE8" w:rsidRPr="001C2DF8">
        <w:t xml:space="preserve"> hozott létre</w:t>
      </w:r>
      <w:r w:rsidR="00961B3F" w:rsidRPr="001C2DF8">
        <w:t xml:space="preserve">, </w:t>
      </w:r>
      <w:r w:rsidR="00F32FE8" w:rsidRPr="001C2DF8">
        <w:t xml:space="preserve">amely </w:t>
      </w:r>
      <w:r w:rsidR="00CD3BF2" w:rsidRPr="001C2DF8">
        <w:t xml:space="preserve">a korábbival </w:t>
      </w:r>
      <w:r w:rsidR="00F32FE8" w:rsidRPr="001C2DF8">
        <w:t>versenghetett.</w:t>
      </w:r>
      <w:r w:rsidR="00CD3BF2" w:rsidRPr="001C2DF8">
        <w:t xml:space="preserve"> Ezt követően mindkettőt privatizálta, majd koreai cégek egy kis csoportját a</w:t>
      </w:r>
      <w:r w:rsidR="007E5515" w:rsidRPr="001C2DF8">
        <w:t>rra buzdította, hogy adja be licenc kérvényét</w:t>
      </w:r>
      <w:r w:rsidR="00CD3BF2" w:rsidRPr="001C2DF8">
        <w:t xml:space="preserve">. Később </w:t>
      </w:r>
      <w:r w:rsidR="007E5515" w:rsidRPr="001C2DF8">
        <w:t xml:space="preserve">még </w:t>
      </w:r>
      <w:r w:rsidR="00CD3BF2" w:rsidRPr="001C2DF8">
        <w:t xml:space="preserve">néhány külföldi távközlési cégnek </w:t>
      </w:r>
      <w:r w:rsidR="007E5515" w:rsidRPr="001C2DF8">
        <w:t xml:space="preserve">is </w:t>
      </w:r>
      <w:r w:rsidR="00CD3BF2" w:rsidRPr="001C2DF8">
        <w:t>ajánlatot</w:t>
      </w:r>
      <w:r w:rsidR="007E5515" w:rsidRPr="001C2DF8">
        <w:t xml:space="preserve"> tett</w:t>
      </w:r>
      <w:r w:rsidR="00CD3BF2" w:rsidRPr="001C2DF8">
        <w:t xml:space="preserve">, hogy legyenek a koreai cégek kisebbségi partnerei (így azok technológiájához is hozzájutott); és csak ezek után tette lehetővé a teljeséggel külföldi tulajdonban lévő vállalatok számára, hogy beszálljanak a versenybe, de akkor is </w:t>
      </w:r>
      <w:r w:rsidR="007D75F9" w:rsidRPr="001C2DF8">
        <w:t xml:space="preserve">olyan eszközutánpótlás és technológiai standardok mellett, amelyeket a kormány elismer. Ellentétben azzal, amit az amerikai kormány forgatott a fejében, az egész folyamat célja az volt, hogy a teljes liberalizációt megelőzően egy erős belső távközlési rendszer </w:t>
      </w:r>
      <w:r w:rsidR="00961B3F" w:rsidRPr="001C2DF8">
        <w:t>fejlődjön ki</w:t>
      </w:r>
      <w:r w:rsidR="007D75F9" w:rsidRPr="001C2DF8">
        <w:t>.</w:t>
      </w:r>
      <w:r w:rsidR="0015396F" w:rsidRPr="001C2DF8">
        <w:rPr>
          <w:rStyle w:val="Lbjegyzet-hivatkozs"/>
        </w:rPr>
        <w:footnoteReference w:id="7"/>
      </w:r>
      <w:r w:rsidR="00961B3F" w:rsidRPr="001C2DF8">
        <w:t xml:space="preserve"> </w:t>
      </w:r>
    </w:p>
    <w:p w:rsidR="00E2177B" w:rsidRPr="001C2DF8" w:rsidRDefault="00961B3F" w:rsidP="007B70B2">
      <w:pPr>
        <w:autoSpaceDE w:val="0"/>
        <w:autoSpaceDN w:val="0"/>
        <w:adjustRightInd w:val="0"/>
        <w:jc w:val="both"/>
      </w:pPr>
      <w:r w:rsidRPr="001C2DF8">
        <w:tab/>
        <w:t>Ugyanebben az időben e</w:t>
      </w:r>
      <w:r w:rsidR="00B47A08" w:rsidRPr="001C2DF8">
        <w:t>gy párhuzamos proje</w:t>
      </w:r>
      <w:r w:rsidR="004656E1">
        <w:t>k</w:t>
      </w:r>
      <w:r w:rsidR="00B47A08" w:rsidRPr="001C2DF8">
        <w:t>t is futott.</w:t>
      </w:r>
      <w:r w:rsidRPr="001C2DF8">
        <w:t xml:space="preserve"> </w:t>
      </w:r>
      <w:r w:rsidR="00B47A08" w:rsidRPr="001C2DF8">
        <w:t>A</w:t>
      </w:r>
      <w:r w:rsidR="007D75F9" w:rsidRPr="001C2DF8">
        <w:t xml:space="preserve">z állam és a magánszektor együttműködése révén a CDMA, </w:t>
      </w:r>
      <w:r w:rsidR="00E2177B" w:rsidRPr="001C2DF8">
        <w:t>(</w:t>
      </w:r>
      <w:r w:rsidR="004656E1">
        <w:t>Code Division Multiple Access</w:t>
      </w:r>
      <w:r w:rsidR="00E2177B" w:rsidRPr="001C2DF8">
        <w:rPr>
          <w:bCs/>
        </w:rPr>
        <w:t xml:space="preserve">) digitális adatátviteli technológiához szükséges </w:t>
      </w:r>
      <w:r w:rsidR="004306C7">
        <w:t>kutatás-fejlesztési munkálatokat végezték</w:t>
      </w:r>
      <w:r w:rsidR="00E2177B" w:rsidRPr="001C2DF8">
        <w:t xml:space="preserve">, </w:t>
      </w:r>
      <w:r w:rsidR="004306C7">
        <w:t>mivel</w:t>
      </w:r>
      <w:r w:rsidR="00E2177B" w:rsidRPr="001C2DF8">
        <w:t xml:space="preserve"> a vezető külföldi </w:t>
      </w:r>
      <w:r w:rsidR="004306C7" w:rsidRPr="001C2DF8">
        <w:t>távközl</w:t>
      </w:r>
      <w:r w:rsidR="004306C7">
        <w:t>ési</w:t>
      </w:r>
      <w:r w:rsidR="004306C7" w:rsidRPr="001C2DF8">
        <w:t xml:space="preserve"> </w:t>
      </w:r>
      <w:r w:rsidR="00E2177B" w:rsidRPr="001C2DF8">
        <w:t xml:space="preserve">cégek nem adták volna el fejlett technológiájukat a koreaiaknak. </w:t>
      </w:r>
      <w:r w:rsidRPr="001C2DF8">
        <w:t>Az Ipari és Kereskedelmi Minisztérium egy t</w:t>
      </w:r>
      <w:r w:rsidR="00E2177B" w:rsidRPr="001C2DF8">
        <w:t xml:space="preserve">echnológiai fejlesztő hálózatot hozott létre, amely </w:t>
      </w:r>
      <w:r w:rsidRPr="001C2DF8">
        <w:t xml:space="preserve">a kormány által fenntartott </w:t>
      </w:r>
      <w:r w:rsidR="00E2177B" w:rsidRPr="001C2DF8">
        <w:t xml:space="preserve">Elektronikus </w:t>
      </w:r>
      <w:r w:rsidRPr="001C2DF8">
        <w:t>és Telekommunikációs Kutató Intézetet (</w:t>
      </w:r>
      <w:r w:rsidR="004306C7">
        <w:t xml:space="preserve">Electronics and Telecommunications Research Institute, </w:t>
      </w:r>
      <w:r w:rsidR="00E2177B" w:rsidRPr="001C2DF8">
        <w:t>E</w:t>
      </w:r>
      <w:r w:rsidRPr="001C2DF8">
        <w:t>T</w:t>
      </w:r>
      <w:r w:rsidR="004306C7">
        <w:t>R</w:t>
      </w:r>
      <w:r w:rsidRPr="001C2DF8">
        <w:t>I) a koráb</w:t>
      </w:r>
      <w:r w:rsidR="00E2177B" w:rsidRPr="001C2DF8">
        <w:t>b</w:t>
      </w:r>
      <w:r w:rsidR="00C9283E" w:rsidRPr="001C2DF8">
        <w:t>i</w:t>
      </w:r>
      <w:r w:rsidR="00E2177B" w:rsidRPr="001C2DF8">
        <w:t xml:space="preserve"> állami tulajdonú távközlő cégekk</w:t>
      </w:r>
      <w:r w:rsidRPr="001C2DF8">
        <w:t xml:space="preserve">el és több </w:t>
      </w:r>
      <w:r w:rsidR="00E2177B" w:rsidRPr="001C2DF8">
        <w:t>koreai magán</w:t>
      </w:r>
      <w:r w:rsidR="004306C7">
        <w:t xml:space="preserve">társasággal </w:t>
      </w:r>
      <w:r w:rsidR="00E2177B" w:rsidRPr="001C2DF8">
        <w:t xml:space="preserve">kötötte össze, s ezek mindegyikének külön </w:t>
      </w:r>
      <w:r w:rsidR="00E2177B" w:rsidRPr="001C2DF8">
        <w:lastRenderedPageBreak/>
        <w:t xml:space="preserve">feladatot jelölt ki. </w:t>
      </w:r>
      <w:r w:rsidRPr="001C2DF8">
        <w:t>Ezt a hálózatot javarészt a privatizált állami vállalatok részvényeinek értékesítéséből tartották fenn. A</w:t>
      </w:r>
      <w:r w:rsidR="00E2177B" w:rsidRPr="001C2DF8">
        <w:t xml:space="preserve">z ebből származó </w:t>
      </w:r>
      <w:r w:rsidRPr="001C2DF8">
        <w:t xml:space="preserve">bevételeket </w:t>
      </w:r>
      <w:r w:rsidR="00E2177B" w:rsidRPr="001C2DF8">
        <w:t xml:space="preserve">részint arra </w:t>
      </w:r>
      <w:r w:rsidRPr="001C2DF8">
        <w:t>használták</w:t>
      </w:r>
      <w:r w:rsidR="00E2177B" w:rsidRPr="001C2DF8">
        <w:t xml:space="preserve"> fel</w:t>
      </w:r>
      <w:r w:rsidRPr="001C2DF8">
        <w:t xml:space="preserve">, hogy a telekommunikációs szolgáltatások </w:t>
      </w:r>
      <w:r w:rsidR="004306C7">
        <w:t>–</w:t>
      </w:r>
      <w:r w:rsidR="00C9283E" w:rsidRPr="001C2DF8">
        <w:t xml:space="preserve"> </w:t>
      </w:r>
      <w:r w:rsidR="00E2177B" w:rsidRPr="001C2DF8">
        <w:t>köztük</w:t>
      </w:r>
      <w:r w:rsidR="004306C7">
        <w:t xml:space="preserve"> </w:t>
      </w:r>
      <w:r w:rsidR="00E2177B" w:rsidRPr="001C2DF8">
        <w:t>az internethozzáférés</w:t>
      </w:r>
      <w:r w:rsidR="00C9283E" w:rsidRPr="001C2DF8">
        <w:t xml:space="preserve"> </w:t>
      </w:r>
      <w:r w:rsidR="004306C7">
        <w:t>–</w:t>
      </w:r>
      <w:r w:rsidRPr="001C2DF8">
        <w:t xml:space="preserve"> </w:t>
      </w:r>
      <w:r w:rsidR="004306C7">
        <w:t>iránt megnövekvő keresletet ki tudják elégítani</w:t>
      </w:r>
      <w:r w:rsidR="00E2177B" w:rsidRPr="001C2DF8">
        <w:t xml:space="preserve">, </w:t>
      </w:r>
      <w:r w:rsidR="004306C7">
        <w:t xml:space="preserve">pozitív visszacsatolási láncot teremtve ezáltal a </w:t>
      </w:r>
      <w:r w:rsidR="00E2177B" w:rsidRPr="001C2DF8">
        <w:t xml:space="preserve">kínálat és kereslet között. </w:t>
      </w:r>
    </w:p>
    <w:p w:rsidR="00CD0F42" w:rsidRPr="001C2DF8" w:rsidRDefault="00E2177B" w:rsidP="007B70B2">
      <w:pPr>
        <w:autoSpaceDE w:val="0"/>
        <w:autoSpaceDN w:val="0"/>
        <w:adjustRightInd w:val="0"/>
        <w:jc w:val="both"/>
      </w:pPr>
      <w:r w:rsidRPr="001C2DF8">
        <w:t xml:space="preserve"> </w:t>
      </w:r>
      <w:r w:rsidRPr="001C2DF8">
        <w:tab/>
      </w:r>
      <w:r w:rsidR="00961B3F" w:rsidRPr="001C2DF8">
        <w:t>Az eredmény látványos volt: Korea</w:t>
      </w:r>
      <w:r w:rsidR="00CD0F42" w:rsidRPr="001C2DF8">
        <w:t>,</w:t>
      </w:r>
      <w:r w:rsidR="00961B3F" w:rsidRPr="001C2DF8">
        <w:t xml:space="preserve"> a távközlési piac kilencvenes évekbeli niemandja</w:t>
      </w:r>
      <w:r w:rsidR="00CD0F42" w:rsidRPr="001C2DF8">
        <w:t>,</w:t>
      </w:r>
      <w:r w:rsidR="00961B3F" w:rsidRPr="001C2DF8">
        <w:t xml:space="preserve"> 2000 elejé</w:t>
      </w:r>
      <w:r w:rsidR="00CD0F42" w:rsidRPr="001C2DF8">
        <w:t xml:space="preserve">re főszereplő lett. A </w:t>
      </w:r>
      <w:r w:rsidR="00CD0F42" w:rsidRPr="001C2DF8">
        <w:rPr>
          <w:b/>
        </w:rPr>
        <w:t xml:space="preserve">szélessáv </w:t>
      </w:r>
      <w:r w:rsidR="004306C7">
        <w:rPr>
          <w:b/>
        </w:rPr>
        <w:t xml:space="preserve">penetrációja </w:t>
      </w:r>
      <w:r w:rsidR="00CD0F42" w:rsidRPr="001C2DF8">
        <w:t xml:space="preserve">itt a legmagasabb </w:t>
      </w:r>
      <w:r w:rsidR="00961B3F" w:rsidRPr="001C2DF8">
        <w:t xml:space="preserve">a világon. </w:t>
      </w:r>
      <w:r w:rsidR="00CD0F42" w:rsidRPr="001C2DF8">
        <w:t>Mindez az állam által levezényelt, a nemzeti tulajdonna</w:t>
      </w:r>
      <w:r w:rsidR="00C9283E" w:rsidRPr="001C2DF8">
        <w:t>k a fontos ágazatokban súlyt adni képes</w:t>
      </w:r>
      <w:r w:rsidR="00CD0F42" w:rsidRPr="001C2DF8">
        <w:t xml:space="preserve"> fejlesztési céloknak megfelelő, fokozatos liberalizáció erényeit domborítja ki. </w:t>
      </w:r>
    </w:p>
    <w:p w:rsidR="00961B3F" w:rsidRPr="001C2DF8" w:rsidRDefault="00961B3F" w:rsidP="007B70B2">
      <w:pPr>
        <w:autoSpaceDE w:val="0"/>
        <w:autoSpaceDN w:val="0"/>
        <w:adjustRightInd w:val="0"/>
        <w:jc w:val="both"/>
      </w:pPr>
    </w:p>
    <w:p w:rsidR="00961B3F" w:rsidRPr="001C2DF8" w:rsidRDefault="00961B3F" w:rsidP="007B70B2">
      <w:pPr>
        <w:autoSpaceDE w:val="0"/>
        <w:autoSpaceDN w:val="0"/>
        <w:adjustRightInd w:val="0"/>
        <w:jc w:val="both"/>
        <w:rPr>
          <w:b/>
        </w:rPr>
      </w:pPr>
      <w:r w:rsidRPr="001C2DF8">
        <w:rPr>
          <w:b/>
        </w:rPr>
        <w:t xml:space="preserve">A piac kormányzásának elmélete  </w:t>
      </w:r>
    </w:p>
    <w:p w:rsidR="00CD0F42" w:rsidRPr="001C2DF8" w:rsidRDefault="00CD0F42" w:rsidP="007B70B2">
      <w:pPr>
        <w:autoSpaceDE w:val="0"/>
        <w:autoSpaceDN w:val="0"/>
        <w:adjustRightInd w:val="0"/>
        <w:jc w:val="both"/>
        <w:rPr>
          <w:b/>
        </w:rPr>
      </w:pPr>
    </w:p>
    <w:p w:rsidR="00B47A08" w:rsidRPr="001C2DF8" w:rsidRDefault="00B47A08" w:rsidP="00B47A08">
      <w:pPr>
        <w:autoSpaceDE w:val="0"/>
        <w:autoSpaceDN w:val="0"/>
        <w:adjustRightInd w:val="0"/>
        <w:ind w:firstLine="708"/>
        <w:jc w:val="both"/>
        <w:rPr>
          <w:b/>
        </w:rPr>
      </w:pPr>
      <w:r w:rsidRPr="001C2DF8">
        <w:t>Kijelenhetjük: a kelet-ázsiai kormányok a piac kormányzása iránt elkötelezettek voltak. De vajon van-e olyan elmélet, amelyből kiderülhet, hogy miért is segítheti ez elő a gyors, egész gazdaságra kiható fejlődést? A hagyományos gazdasági elemzések azt hangsúlyozzák, hogy ha a</w:t>
      </w:r>
      <w:r w:rsidR="00DE45FD">
        <w:t xml:space="preserve">z állam </w:t>
      </w:r>
      <w:r w:rsidRPr="001C2DF8">
        <w:t xml:space="preserve">nem éri be a jól működő piacok eredményeivel és be akarnak avatkozni a gazdasági életbe, akkor kudarcot fog szenvedni, </w:t>
      </w:r>
      <w:r w:rsidR="00DE45FD" w:rsidRPr="001C2DF8">
        <w:t>akadályoz</w:t>
      </w:r>
      <w:r w:rsidR="00DE45FD">
        <w:t>va</w:t>
      </w:r>
      <w:r w:rsidR="00DE45FD" w:rsidRPr="001C2DF8">
        <w:t xml:space="preserve"> </w:t>
      </w:r>
      <w:r w:rsidRPr="001C2DF8">
        <w:t xml:space="preserve">a </w:t>
      </w:r>
      <w:r w:rsidR="00DE45FD">
        <w:t>komparatív előnyök kiaknázását</w:t>
      </w:r>
      <w:r w:rsidRPr="001C2DF8">
        <w:t xml:space="preserve">, </w:t>
      </w:r>
      <w:r w:rsidR="00DE45FD">
        <w:t xml:space="preserve">mely a fenntartható fejlődéshez vezető egyedüli út. </w:t>
      </w:r>
      <w:r w:rsidRPr="001C2DF8">
        <w:t>A</w:t>
      </w:r>
      <w:r w:rsidR="00DE45FD">
        <w:t>z olyan intézkedések, mint az</w:t>
      </w:r>
      <w:r w:rsidRPr="001C2DF8">
        <w:t xml:space="preserve"> </w:t>
      </w:r>
      <w:r w:rsidR="00DE45FD">
        <w:t>ipar</w:t>
      </w:r>
      <w:r w:rsidRPr="001C2DF8">
        <w:t>védelem</w:t>
      </w:r>
      <w:r w:rsidR="00DE45FD">
        <w:t xml:space="preserve">, a hazai hányad megkövetelése, </w:t>
      </w:r>
      <w:r w:rsidRPr="001C2DF8">
        <w:t>vagy az exporttal szembeni elvárások a források eredményesebb kihasználását korlátozzák és csökkentik a fogyasztást. Az exporttal szembeni követelmények például a kereskedelm</w:t>
      </w:r>
      <w:r w:rsidR="00DE45FD">
        <w:t>i egyenleget ronthatják</w:t>
      </w:r>
      <w:r w:rsidRPr="001C2DF8">
        <w:t xml:space="preserve">, mivel </w:t>
      </w:r>
      <w:r w:rsidR="00981D2C">
        <w:rPr>
          <w:i/>
        </w:rPr>
        <w:t>egyes</w:t>
      </w:r>
      <w:r w:rsidR="00981D2C" w:rsidRPr="001C2DF8">
        <w:t xml:space="preserve"> </w:t>
      </w:r>
      <w:r w:rsidRPr="001C2DF8">
        <w:t xml:space="preserve">iparágakat </w:t>
      </w:r>
      <w:r w:rsidR="00981D2C">
        <w:t xml:space="preserve">megfoszthat </w:t>
      </w:r>
      <w:r w:rsidRPr="001C2DF8">
        <w:t xml:space="preserve">az export lehetőségétől. </w:t>
      </w:r>
    </w:p>
    <w:p w:rsidR="00961B3F" w:rsidRPr="001C2DF8" w:rsidRDefault="00704A39" w:rsidP="007B70B2">
      <w:pPr>
        <w:autoSpaceDE w:val="0"/>
        <w:autoSpaceDN w:val="0"/>
        <w:adjustRightInd w:val="0"/>
        <w:ind w:firstLine="708"/>
        <w:jc w:val="both"/>
      </w:pPr>
      <w:r>
        <w:t>Azonban ha</w:t>
      </w:r>
      <w:r w:rsidR="005724C2" w:rsidRPr="001C2DF8">
        <w:t xml:space="preserve"> </w:t>
      </w:r>
      <w:r w:rsidR="00961B3F" w:rsidRPr="001C2DF8">
        <w:t xml:space="preserve">a </w:t>
      </w:r>
      <w:r>
        <w:t>tökéletes verseny</w:t>
      </w:r>
      <w:r w:rsidRPr="001C2DF8">
        <w:t xml:space="preserve"> </w:t>
      </w:r>
      <w:r>
        <w:t xml:space="preserve">előfeltevése helyett </w:t>
      </w:r>
      <w:r w:rsidR="005724C2" w:rsidRPr="00704A39">
        <w:rPr>
          <w:rStyle w:val="Kiemels"/>
          <w:b w:val="0"/>
        </w:rPr>
        <w:t>oligop</w:t>
      </w:r>
      <w:r w:rsidRPr="00704A39">
        <w:rPr>
          <w:rStyle w:val="Kiemels"/>
          <w:b w:val="0"/>
        </w:rPr>
        <w:t>olisztikus</w:t>
      </w:r>
      <w:r w:rsidR="005724C2" w:rsidRPr="001C2DF8">
        <w:t xml:space="preserve"> </w:t>
      </w:r>
      <w:r>
        <w:t>piacból indulunk ki</w:t>
      </w:r>
      <w:r w:rsidR="00961B3F" w:rsidRPr="001C2DF8">
        <w:t xml:space="preserve"> –</w:t>
      </w:r>
      <w:r w:rsidR="005724C2" w:rsidRPr="001C2DF8">
        <w:t xml:space="preserve"> </w:t>
      </w:r>
      <w:r>
        <w:t>ahol</w:t>
      </w:r>
      <w:r w:rsidRPr="001C2DF8">
        <w:t xml:space="preserve"> </w:t>
      </w:r>
      <w:r w:rsidR="005724C2" w:rsidRPr="001C2DF8">
        <w:t>kevés cég</w:t>
      </w:r>
      <w:r>
        <w:t xml:space="preserve"> versenyez és nagyok a piacralépés költségei</w:t>
      </w:r>
      <w:r w:rsidR="005724C2" w:rsidRPr="001C2DF8">
        <w:t xml:space="preserve"> </w:t>
      </w:r>
      <w:r w:rsidR="00961B3F" w:rsidRPr="001C2DF8">
        <w:t>–</w:t>
      </w:r>
      <w:r w:rsidR="005724C2" w:rsidRPr="001C2DF8">
        <w:t xml:space="preserve"> </w:t>
      </w:r>
      <w:r w:rsidR="00961B3F" w:rsidRPr="001C2DF8">
        <w:t>az érvelés</w:t>
      </w:r>
      <w:r w:rsidR="005724C2" w:rsidRPr="001C2DF8">
        <w:t xml:space="preserve"> </w:t>
      </w:r>
      <w:r>
        <w:t>már</w:t>
      </w:r>
      <w:r w:rsidR="005724C2" w:rsidRPr="001C2DF8">
        <w:t>is más irányt vehet</w:t>
      </w:r>
      <w:r w:rsidR="00961B3F" w:rsidRPr="001C2DF8">
        <w:t>.</w:t>
      </w:r>
      <w:r w:rsidR="005724C2" w:rsidRPr="001C2DF8">
        <w:t xml:space="preserve"> </w:t>
      </w:r>
      <w:r>
        <w:t xml:space="preserve">A liberális érvelés végképp tarthatatlanná válik, ha felismerjük a </w:t>
      </w:r>
      <w:r w:rsidR="00961B3F" w:rsidRPr="001C2DF8">
        <w:t xml:space="preserve">növekvő </w:t>
      </w:r>
      <w:r w:rsidRPr="001C2DF8">
        <w:t>hozadék</w:t>
      </w:r>
      <w:r>
        <w:t>ok</w:t>
      </w:r>
      <w:r w:rsidRPr="001C2DF8">
        <w:t xml:space="preserve"> </w:t>
      </w:r>
      <w:r>
        <w:t>jelentőségét</w:t>
      </w:r>
      <w:r w:rsidR="00961B3F" w:rsidRPr="001C2DF8">
        <w:t xml:space="preserve">, </w:t>
      </w:r>
      <w:r w:rsidR="005734F0">
        <w:t>mely érthetővé teszi, hogy a számos lehetséges termelési lehetőség közül csak néhány valósítható meg</w:t>
      </w:r>
      <w:r w:rsidR="00327EBB" w:rsidRPr="001C2DF8">
        <w:t>,</w:t>
      </w:r>
      <w:r w:rsidR="00961B3F" w:rsidRPr="001C2DF8">
        <w:t xml:space="preserve"> </w:t>
      </w:r>
      <w:r w:rsidR="005734F0">
        <w:t>illetve hogy a</w:t>
      </w:r>
      <w:r w:rsidR="00161175">
        <w:t xml:space="preserve"> „tevékeny tanulás” (learning by doing)</w:t>
      </w:r>
      <w:r w:rsidR="005734F0">
        <w:t xml:space="preserve"> </w:t>
      </w:r>
      <w:r w:rsidR="00161175">
        <w:t xml:space="preserve">gazdasági előnyhöz </w:t>
      </w:r>
      <w:r w:rsidR="00961B3F" w:rsidRPr="001C2DF8">
        <w:t>juttatj</w:t>
      </w:r>
      <w:r w:rsidR="00161175">
        <w:t>a</w:t>
      </w:r>
      <w:r w:rsidR="00961B3F" w:rsidRPr="001C2DF8">
        <w:t xml:space="preserve"> azokat a cégeket, melyek </w:t>
      </w:r>
      <w:r w:rsidR="00161175">
        <w:t>elsőként indultak egy adott szektorban</w:t>
      </w:r>
      <w:r w:rsidR="00961B3F" w:rsidRPr="001C2DF8">
        <w:t xml:space="preserve">. </w:t>
      </w:r>
      <w:r w:rsidR="00327EBB" w:rsidRPr="001C2DF8">
        <w:t xml:space="preserve">E feltételek mellett az államnak </w:t>
      </w:r>
      <w:r w:rsidR="00161175">
        <w:t>van</w:t>
      </w:r>
      <w:r w:rsidR="00161175" w:rsidRPr="001C2DF8">
        <w:t xml:space="preserve"> </w:t>
      </w:r>
      <w:r w:rsidR="00327EBB" w:rsidRPr="001C2DF8">
        <w:t xml:space="preserve">mozgástere, </w:t>
      </w:r>
      <w:r w:rsidR="00161175">
        <w:t>nem arra, hogy létrehozza a komparatív előnyöket, vagy hogy kiválassza a nyerteseket, hanem hogy alakítsa és terelje a komparatív előnyöket</w:t>
      </w:r>
      <w:r w:rsidR="00327EBB" w:rsidRPr="001C2DF8">
        <w:t xml:space="preserve">. E feltételek </w:t>
      </w:r>
      <w:r w:rsidR="00161175">
        <w:t>teljesülnek</w:t>
      </w:r>
      <w:r w:rsidR="00327EBB" w:rsidRPr="001C2DF8">
        <w:t xml:space="preserve"> a </w:t>
      </w:r>
      <w:r w:rsidR="00961B3F" w:rsidRPr="001C2DF8">
        <w:t>köz</w:t>
      </w:r>
      <w:r w:rsidR="00327EBB" w:rsidRPr="001C2DF8">
        <w:t>epes technológiával rendelkező K</w:t>
      </w:r>
      <w:r w:rsidR="00961B3F" w:rsidRPr="001C2DF8">
        <w:t>elet-Európában és a közepes és fejlett tech</w:t>
      </w:r>
      <w:r w:rsidR="00327EBB" w:rsidRPr="001C2DF8">
        <w:t>nológiával egyaránt rendelkező K</w:t>
      </w:r>
      <w:r w:rsidR="00961B3F" w:rsidRPr="001C2DF8">
        <w:t>elet-Ázsiában.</w:t>
      </w:r>
    </w:p>
    <w:p w:rsidR="00562D28" w:rsidRPr="00860E90" w:rsidRDefault="005964F0" w:rsidP="00860E90">
      <w:pPr>
        <w:autoSpaceDE w:val="0"/>
        <w:autoSpaceDN w:val="0"/>
        <w:adjustRightInd w:val="0"/>
        <w:ind w:firstLine="708"/>
        <w:jc w:val="both"/>
      </w:pPr>
      <w:r w:rsidRPr="00860E90">
        <w:t>Az állam például beavatkozhat annak érdekében, hogy termelési folyamat bizonyos elemei a költséges külföldi szék</w:t>
      </w:r>
      <w:r w:rsidR="00860E90" w:rsidRPr="00860E90">
        <w:t>helyről belföldre települjenek, ami pusztán piaci alapon gyakran túl lassan következik be.</w:t>
      </w:r>
      <w:r>
        <w:rPr>
          <w:b/>
        </w:rPr>
        <w:t xml:space="preserve"> </w:t>
      </w:r>
      <w:r w:rsidR="00961B3F" w:rsidRPr="00860E90">
        <w:t xml:space="preserve">A transznacionális cégekkel foglalkozó tanulmányok világosan </w:t>
      </w:r>
      <w:r w:rsidR="00562D28" w:rsidRPr="00860E90">
        <w:t>ki</w:t>
      </w:r>
      <w:r w:rsidR="00961B3F" w:rsidRPr="00860E90">
        <w:t xml:space="preserve">mutatják, hogy </w:t>
      </w:r>
      <w:r w:rsidR="00860E90" w:rsidRPr="00860E90">
        <w:t xml:space="preserve">a </w:t>
      </w:r>
      <w:r w:rsidR="00860E90" w:rsidRPr="00860E90">
        <w:rPr>
          <w:i/>
        </w:rPr>
        <w:t>tökéletlen</w:t>
      </w:r>
      <w:r w:rsidR="00860E90" w:rsidRPr="00860E90">
        <w:t xml:space="preserve"> v</w:t>
      </w:r>
      <w:r w:rsidR="00860E90">
        <w:t>erseny</w:t>
      </w:r>
      <w:r w:rsidR="00860E90" w:rsidRPr="00860E90">
        <w:t>környezetben</w:t>
      </w:r>
      <w:r w:rsidR="00562D28" w:rsidRPr="00860E90">
        <w:t xml:space="preserve"> működ</w:t>
      </w:r>
      <w:r w:rsidR="00860E90" w:rsidRPr="00860E90">
        <w:t>ő vállalatok</w:t>
      </w:r>
      <w:r w:rsidR="00961B3F" w:rsidRPr="00860E90">
        <w:t xml:space="preserve"> –</w:t>
      </w:r>
      <w:r w:rsidR="00562D28" w:rsidRPr="00860E90">
        <w:t xml:space="preserve"> ez</w:t>
      </w:r>
      <w:r w:rsidR="00961B3F" w:rsidRPr="00860E90">
        <w:t xml:space="preserve"> norm</w:t>
      </w:r>
      <w:r w:rsidR="00860E90" w:rsidRPr="00860E90">
        <w:t>alitás</w:t>
      </w:r>
      <w:r w:rsidR="00961B3F" w:rsidRPr="00860E90">
        <w:t xml:space="preserve"> –</w:t>
      </w:r>
      <w:r w:rsidR="00C9283E" w:rsidRPr="00860E90">
        <w:t xml:space="preserve"> </w:t>
      </w:r>
      <w:r w:rsidR="00562D28" w:rsidRPr="00860E90">
        <w:t xml:space="preserve">sokszor még akkor is </w:t>
      </w:r>
      <w:r w:rsidR="00961B3F" w:rsidRPr="00860E90">
        <w:t xml:space="preserve">lassan reagálnak az árjelzésekre, ha </w:t>
      </w:r>
      <w:r w:rsidR="00562D28" w:rsidRPr="00860E90">
        <w:t xml:space="preserve">pontosan tisztában vannak </w:t>
      </w:r>
      <w:r w:rsidR="00961B3F" w:rsidRPr="00860E90">
        <w:t>a</w:t>
      </w:r>
      <w:r w:rsidR="00C9283E" w:rsidRPr="00860E90">
        <w:t xml:space="preserve"> helyszínváltással járó hasznon</w:t>
      </w:r>
      <w:r w:rsidR="00562D28" w:rsidRPr="00860E90">
        <w:t>növekedés lehetőségével.</w:t>
      </w:r>
      <w:r w:rsidR="00562D28" w:rsidRPr="001C2DF8">
        <w:rPr>
          <w:b/>
        </w:rPr>
        <w:t xml:space="preserve"> </w:t>
      </w:r>
      <w:r w:rsidR="00B51E10" w:rsidRPr="00860E90">
        <w:t xml:space="preserve">Ez leginkább </w:t>
      </w:r>
      <w:r w:rsidR="00C9283E" w:rsidRPr="00860E90">
        <w:t>akkor alakul így</w:t>
      </w:r>
      <w:r w:rsidR="00B51E10" w:rsidRPr="00860E90">
        <w:t>, ha a cég</w:t>
      </w:r>
      <w:r w:rsidR="00860E90" w:rsidRPr="00860E90">
        <w:t xml:space="preserve"> belső </w:t>
      </w:r>
      <w:r w:rsidR="00B51E10" w:rsidRPr="00860E90">
        <w:t>működés</w:t>
      </w:r>
      <w:r w:rsidR="00860E90" w:rsidRPr="00860E90">
        <w:t>ének</w:t>
      </w:r>
      <w:r w:rsidR="00B51E10" w:rsidRPr="00860E90">
        <w:t xml:space="preserve"> újraszervezése, a termelésnek a központból az olcsóbb helyszínekre való áthelyezése, vagy a drága ellátókról </w:t>
      </w:r>
      <w:r w:rsidR="00860E90" w:rsidRPr="00860E90">
        <w:t xml:space="preserve">az olcsóbb </w:t>
      </w:r>
      <w:r w:rsidR="00B51E10" w:rsidRPr="00860E90">
        <w:t>hazai</w:t>
      </w:r>
      <w:r w:rsidR="00860E90" w:rsidRPr="00860E90">
        <w:t>ra</w:t>
      </w:r>
      <w:r w:rsidR="00B51E10" w:rsidRPr="00860E90">
        <w:t xml:space="preserve"> való áttérés </w:t>
      </w:r>
      <w:r w:rsidR="00860E90" w:rsidRPr="00860E90">
        <w:t>magas</w:t>
      </w:r>
      <w:r w:rsidR="00B51E10" w:rsidRPr="00860E90">
        <w:t xml:space="preserve"> kilépési költség</w:t>
      </w:r>
      <w:r w:rsidR="00860E90" w:rsidRPr="00860E90">
        <w:t>gel</w:t>
      </w:r>
      <w:r w:rsidR="00B51E10" w:rsidRPr="00860E90">
        <w:t xml:space="preserve"> </w:t>
      </w:r>
      <w:r w:rsidR="00860E90" w:rsidRPr="00860E90">
        <w:t>járna</w:t>
      </w:r>
      <w:r w:rsidR="00B51E10" w:rsidRPr="00860E90">
        <w:t>.</w:t>
      </w:r>
    </w:p>
    <w:p w:rsidR="00B47A08" w:rsidRPr="001C2DF8" w:rsidRDefault="00961B3F" w:rsidP="00B47A08">
      <w:pPr>
        <w:autoSpaceDE w:val="0"/>
        <w:autoSpaceDN w:val="0"/>
        <w:adjustRightInd w:val="0"/>
        <w:ind w:firstLine="708"/>
        <w:jc w:val="both"/>
      </w:pPr>
      <w:r w:rsidRPr="001C2DF8">
        <w:t>A mexikói autógyártás</w:t>
      </w:r>
      <w:r w:rsidR="00C9283E" w:rsidRPr="001C2DF8">
        <w:t xml:space="preserve"> esete</w:t>
      </w:r>
      <w:r w:rsidRPr="001C2DF8">
        <w:t xml:space="preserve"> </w:t>
      </w:r>
      <w:r w:rsidR="00B51E10" w:rsidRPr="001C2DF8">
        <w:t>jól szemlélteti mindezt. A hatvanas években a</w:t>
      </w:r>
      <w:r w:rsidRPr="001C2DF8">
        <w:t xml:space="preserve"> Ford és a Volkswagen műhelye</w:t>
      </w:r>
      <w:r w:rsidR="00B47A08" w:rsidRPr="001C2DF8">
        <w:t>ke</w:t>
      </w:r>
      <w:r w:rsidRPr="001C2DF8">
        <w:t>t és motorü</w:t>
      </w:r>
      <w:r w:rsidR="00B51E10" w:rsidRPr="001C2DF8">
        <w:t xml:space="preserve">zemeket hozott létre Mexikóban, s </w:t>
      </w:r>
      <w:r w:rsidRPr="001C2DF8">
        <w:t xml:space="preserve">a termelés jelentős részét exportra szánták. </w:t>
      </w:r>
      <w:r w:rsidR="00B51E10" w:rsidRPr="001C2DF8">
        <w:t>Ők és más autócégek is</w:t>
      </w:r>
      <w:r w:rsidR="00C9283E" w:rsidRPr="001C2DF8">
        <w:t xml:space="preserve"> azt tapasztalták, hogy költség</w:t>
      </w:r>
      <w:r w:rsidR="00B51E10" w:rsidRPr="001C2DF8">
        <w:t>előnyökre tehetnek szert.</w:t>
      </w:r>
      <w:r w:rsidRPr="001C2DF8">
        <w:t xml:space="preserve"> </w:t>
      </w:r>
      <w:r w:rsidR="00B51E10" w:rsidRPr="001C2DF8">
        <w:t xml:space="preserve">Mégis, </w:t>
      </w:r>
      <w:r w:rsidR="00C9283E" w:rsidRPr="001C2DF8">
        <w:t xml:space="preserve">befektetéseik </w:t>
      </w:r>
      <w:r w:rsidR="00B51E10" w:rsidRPr="001C2DF8">
        <w:t xml:space="preserve">a hetvenes évek végéig </w:t>
      </w:r>
      <w:r w:rsidR="0054771E" w:rsidRPr="001C2DF8">
        <w:t>nem csupán világviszonylatban, de a globális ellátó hálózatokba való bekapcsolódás tekintetében is csekélyek maradtak; s egyéb autógyártással foglalkozó cégek sem követték</w:t>
      </w:r>
      <w:r w:rsidR="00C9283E" w:rsidRPr="001C2DF8">
        <w:t xml:space="preserve"> példájukat, </w:t>
      </w:r>
      <w:r w:rsidR="00B47A08" w:rsidRPr="001C2DF8">
        <w:t xml:space="preserve">nem létesítettek motorüzemeket Mexikóban. Így aztán 1978 és 1979 körül a mexikói ipar köztisztviselői, akik tisztában voltak azzal, hogy az amerikai autógyártók a japán import miatt a nemzetközi verseny nyomásától szenvednek otthon, úgy döntöttek, hogy keresztülvisznek egy 1977-es </w:t>
      </w:r>
      <w:r w:rsidR="00B47A08" w:rsidRPr="001C2DF8">
        <w:lastRenderedPageBreak/>
        <w:t>rendeletet, amely a belső piac</w:t>
      </w:r>
      <w:r w:rsidR="00417F98">
        <w:t>hoz való hozzáférés</w:t>
      </w:r>
      <w:r w:rsidR="00B47A08" w:rsidRPr="001C2DF8">
        <w:t xml:space="preserve"> az export</w:t>
      </w:r>
      <w:r w:rsidR="00417F98">
        <w:t>hoz</w:t>
      </w:r>
      <w:r w:rsidR="00B47A08" w:rsidRPr="001C2DF8">
        <w:t xml:space="preserve"> kötötte. A rendelet röviden így összegezhető: amennyiben a növekvő export ütemtervéhez nem tudsz igazodni, úgy belföldi eladásaid is csökkeni fognak. Elsőként a General Motors reagált erre, amelyik 1979-ben jelentette be, hogy történetének minden idők legnagyobb egyszeri befektetésére készül Mexikóban. Hamarosan más autógyártók is követték a General Motors példáját és a mexikói export bővítésére vonatkozó különféle tervekkel álltak elő, annak érdekében, hogy az ottani piacon ne veszítsék el részesedésüket. Mindez azonban tizenhat évvel azután történt, hogy a Ford és Vokswagen megmutatták, milyen költségelőnyök</w:t>
      </w:r>
      <w:r w:rsidR="00417F98">
        <w:t>et</w:t>
      </w:r>
      <w:r w:rsidR="00B47A08" w:rsidRPr="001C2DF8">
        <w:t xml:space="preserve"> rejt Mexikó</w:t>
      </w:r>
      <w:r w:rsidR="00417F98">
        <w:t>.</w:t>
      </w:r>
      <w:r w:rsidR="00B47A08" w:rsidRPr="001C2DF8">
        <w:t xml:space="preserve"> Ők és más autógyártók </w:t>
      </w:r>
      <w:r w:rsidR="00417F98">
        <w:t>a</w:t>
      </w:r>
      <w:r w:rsidR="00B47A08" w:rsidRPr="001C2DF8">
        <w:t xml:space="preserve"> </w:t>
      </w:r>
      <w:r w:rsidR="00417F98">
        <w:t>komparatív előny</w:t>
      </w:r>
      <w:r w:rsidR="00417F98" w:rsidRPr="001C2DF8">
        <w:t xml:space="preserve"> </w:t>
      </w:r>
      <w:r w:rsidR="00B47A08" w:rsidRPr="001C2DF8">
        <w:t>kiaknázásnak hosszan ellenálltak, s csupán a mexikói tisztségviselők „lökésének” köszönhető, hogy a kilépési költségnek és egyéb vállalaton belüli kötöttségeknek a szorításából ki tudtak törni.</w:t>
      </w:r>
      <w:r w:rsidR="000E75AB">
        <w:t xml:space="preserve"> </w:t>
      </w:r>
      <w:r w:rsidR="000E75AB" w:rsidRPr="000E75AB">
        <w:t>(Moran, 1991)</w:t>
      </w:r>
      <w:r w:rsidR="00B47A08" w:rsidRPr="001C2DF8">
        <w:t xml:space="preserve"> </w:t>
      </w:r>
    </w:p>
    <w:p w:rsidR="00B47A08" w:rsidRPr="001C2DF8" w:rsidRDefault="0076788B" w:rsidP="00B47A08">
      <w:pPr>
        <w:autoSpaceDE w:val="0"/>
        <w:autoSpaceDN w:val="0"/>
        <w:adjustRightInd w:val="0"/>
        <w:ind w:firstLine="708"/>
        <w:jc w:val="both"/>
      </w:pPr>
      <w:r w:rsidRPr="001C2DF8">
        <w:t xml:space="preserve">A dél-afrikai autógyártás </w:t>
      </w:r>
      <w:r w:rsidR="00C9283E" w:rsidRPr="001C2DF8">
        <w:t xml:space="preserve">közelmúltbeli </w:t>
      </w:r>
      <w:r w:rsidRPr="001C2DF8">
        <w:t xml:space="preserve">példával szolgál.  Itt a kormány 1995 után </w:t>
      </w:r>
      <w:r w:rsidR="00961B3F" w:rsidRPr="001C2DF8">
        <w:t>jelentett</w:t>
      </w:r>
      <w:r w:rsidRPr="001C2DF8">
        <w:t>e be</w:t>
      </w:r>
      <w:r w:rsidR="00961B3F" w:rsidRPr="001C2DF8">
        <w:t xml:space="preserve"> </w:t>
      </w:r>
      <w:r w:rsidR="00C9283E" w:rsidRPr="001C2DF8">
        <w:t xml:space="preserve">(a mexikóihoz hasonló) </w:t>
      </w:r>
      <w:r w:rsidRPr="001C2DF8">
        <w:t xml:space="preserve">az </w:t>
      </w:r>
      <w:r w:rsidR="00961B3F" w:rsidRPr="001C2DF8">
        <w:t>export</w:t>
      </w:r>
      <w:r w:rsidRPr="001C2DF8">
        <w:t xml:space="preserve">ot és az </w:t>
      </w:r>
      <w:r w:rsidR="00961B3F" w:rsidRPr="001C2DF8">
        <w:t>import</w:t>
      </w:r>
      <w:r w:rsidRPr="001C2DF8">
        <w:t>ot összekötő tervé</w:t>
      </w:r>
      <w:r w:rsidR="00961B3F" w:rsidRPr="001C2DF8">
        <w:t xml:space="preserve">t, </w:t>
      </w:r>
      <w:r w:rsidR="001962F8">
        <w:t>mely</w:t>
      </w:r>
      <w:r w:rsidR="001962F8" w:rsidRPr="001C2DF8">
        <w:t xml:space="preserve"> </w:t>
      </w:r>
      <w:r w:rsidR="001962F8">
        <w:t>az (</w:t>
      </w:r>
      <w:r w:rsidRPr="001C2DF8">
        <w:t xml:space="preserve">aktuálisan évi 350 </w:t>
      </w:r>
      <w:r w:rsidR="00B47A08" w:rsidRPr="001C2DF8">
        <w:t xml:space="preserve">ezer </w:t>
      </w:r>
      <w:r w:rsidRPr="001C2DF8">
        <w:t xml:space="preserve">könnyű gépjárműt gyártó és növekedés elé néző) autócégek hazai piacra való belépését </w:t>
      </w:r>
      <w:r w:rsidR="001962F8">
        <w:t xml:space="preserve">kész autók vagy autóalkatrészek </w:t>
      </w:r>
      <w:r w:rsidRPr="001C2DF8">
        <w:t>export</w:t>
      </w:r>
      <w:r w:rsidR="001962F8">
        <w:t>jához</w:t>
      </w:r>
      <w:r w:rsidRPr="001C2DF8">
        <w:t xml:space="preserve"> kötött</w:t>
      </w:r>
      <w:r w:rsidR="001962F8">
        <w:t>e</w:t>
      </w:r>
      <w:r w:rsidRPr="001C2DF8">
        <w:t>. Ezenfelül</w:t>
      </w:r>
      <w:r w:rsidR="002971E2">
        <w:t xml:space="preserve"> a teljes ellátási láncon belüli hatékonyabb munkaszervezést</w:t>
      </w:r>
      <w:r w:rsidRPr="001C2DF8">
        <w:t xml:space="preserve"> számtalan </w:t>
      </w:r>
      <w:r w:rsidR="000911FF" w:rsidRPr="001C2DF8">
        <w:t xml:space="preserve">kiegészítő program </w:t>
      </w:r>
      <w:r w:rsidR="00961B3F" w:rsidRPr="001C2DF8">
        <w:t>segített</w:t>
      </w:r>
      <w:r w:rsidR="002971E2">
        <w:t xml:space="preserve">e, </w:t>
      </w:r>
      <w:r w:rsidR="002971E2" w:rsidRPr="001C2DF8">
        <w:t>melye</w:t>
      </w:r>
      <w:r w:rsidR="002971E2">
        <w:t>ke</w:t>
      </w:r>
      <w:r w:rsidR="002971E2" w:rsidRPr="001C2DF8">
        <w:t>t</w:t>
      </w:r>
      <w:r w:rsidR="002971E2">
        <w:t xml:space="preserve"> </w:t>
      </w:r>
      <w:r w:rsidR="002971E2" w:rsidRPr="001C2DF8">
        <w:t>egy autóipari fejlesztési tanács irányított, s melynek minden hatodik héten ülésező tagjai között megtalálhatóak voltak a</w:t>
      </w:r>
      <w:r w:rsidR="002971E2">
        <w:t>z</w:t>
      </w:r>
      <w:r w:rsidR="002971E2" w:rsidRPr="001C2DF8">
        <w:t xml:space="preserve"> </w:t>
      </w:r>
      <w:r w:rsidR="002971E2">
        <w:t>autógyártók</w:t>
      </w:r>
      <w:r w:rsidR="002971E2" w:rsidRPr="001C2DF8">
        <w:t xml:space="preserve"> képviselői, az alkatrészgyártók, a kiskereskedők, a szakszervezetek, a kormányzat e</w:t>
      </w:r>
      <w:r w:rsidR="002971E2">
        <w:t>mberei, valamint hat akadémikus</w:t>
      </w:r>
      <w:r w:rsidR="000911FF" w:rsidRPr="001C2DF8">
        <w:t xml:space="preserve">. </w:t>
      </w:r>
      <w:r w:rsidR="002109FF" w:rsidRPr="001C2DF8">
        <w:t xml:space="preserve">A program megalkotásának célja az volt, hogy </w:t>
      </w:r>
      <w:r w:rsidR="00B26D6C" w:rsidRPr="001C2DF8">
        <w:t>a dél-a</w:t>
      </w:r>
      <w:r w:rsidR="00B26D6C">
        <w:t>frikai gazdaság</w:t>
      </w:r>
      <w:r w:rsidR="00B26D6C" w:rsidRPr="001C2DF8">
        <w:t xml:space="preserve"> </w:t>
      </w:r>
      <w:r w:rsidR="00B26D6C">
        <w:t>javára fordítsák</w:t>
      </w:r>
      <w:r w:rsidR="00B26D6C" w:rsidRPr="001C2DF8">
        <w:t xml:space="preserve"> </w:t>
      </w:r>
      <w:r w:rsidR="002109FF" w:rsidRPr="001C2DF8">
        <w:t xml:space="preserve">a három nagy német autógyártó, </w:t>
      </w:r>
      <w:r w:rsidR="00B4780E">
        <w:t>valamint</w:t>
      </w:r>
      <w:r w:rsidR="00B4780E" w:rsidRPr="001C2DF8">
        <w:t xml:space="preserve"> </w:t>
      </w:r>
      <w:r w:rsidR="002109FF" w:rsidRPr="001C2DF8">
        <w:t>a Toyota és a Ford rivalizálását</w:t>
      </w:r>
      <w:r w:rsidR="00B26D6C">
        <w:t xml:space="preserve">. </w:t>
      </w:r>
      <w:r w:rsidR="00B47A08" w:rsidRPr="001C2DF8">
        <w:t>Justin Barnes és szerzőtársai</w:t>
      </w:r>
      <w:r w:rsidR="00B26D6C">
        <w:t xml:space="preserve"> kimutatták</w:t>
      </w:r>
      <w:r w:rsidR="00B47A08" w:rsidRPr="001C2DF8">
        <w:t>, hogy az autóipar</w:t>
      </w:r>
      <w:r w:rsidR="00B26D6C">
        <w:t>ra</w:t>
      </w:r>
      <w:r w:rsidR="00B47A08" w:rsidRPr="001C2DF8">
        <w:t xml:space="preserve"> célz</w:t>
      </w:r>
      <w:r w:rsidR="00B26D6C">
        <w:t>ott</w:t>
      </w:r>
      <w:r w:rsidR="00B47A08" w:rsidRPr="001C2DF8">
        <w:t xml:space="preserve"> </w:t>
      </w:r>
      <w:r w:rsidR="00B26D6C">
        <w:t>fejlesztési programok számos hatékonysági mutató tekintetében</w:t>
      </w:r>
      <w:r w:rsidR="00B47A08" w:rsidRPr="001C2DF8">
        <w:t xml:space="preserve"> eredményesek voltak, s hogy még csak jelentős állami költséggel sem jártak, ahogyan </w:t>
      </w:r>
      <w:r w:rsidR="009B6DDD">
        <w:t xml:space="preserve">bonyolult számításokat végző </w:t>
      </w:r>
      <w:r w:rsidR="00B47A08" w:rsidRPr="001C2DF8">
        <w:t>kiművelt bürokráciát sem igényeltek.</w:t>
      </w:r>
      <w:r w:rsidR="000E75AB">
        <w:t xml:space="preserve"> </w:t>
      </w:r>
      <w:r w:rsidR="000E75AB" w:rsidRPr="00F71A66">
        <w:t>(Barnes, Kaplinsky és Morris, 2004)</w:t>
      </w:r>
    </w:p>
    <w:p w:rsidR="00C23AF8" w:rsidRPr="001C2DF8" w:rsidRDefault="00C23AF8" w:rsidP="00B47A0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61B3F" w:rsidRPr="001C2DF8" w:rsidRDefault="00961B3F" w:rsidP="007B70B2">
      <w:pPr>
        <w:autoSpaceDE w:val="0"/>
        <w:autoSpaceDN w:val="0"/>
        <w:adjustRightInd w:val="0"/>
        <w:jc w:val="both"/>
        <w:rPr>
          <w:b/>
        </w:rPr>
      </w:pPr>
      <w:r w:rsidRPr="001C2DF8">
        <w:rPr>
          <w:b/>
        </w:rPr>
        <w:t xml:space="preserve">Konklúzió </w:t>
      </w:r>
    </w:p>
    <w:p w:rsidR="00961B3F" w:rsidRPr="001C2DF8" w:rsidRDefault="00961B3F" w:rsidP="007B70B2">
      <w:pPr>
        <w:autoSpaceDE w:val="0"/>
        <w:autoSpaceDN w:val="0"/>
        <w:adjustRightInd w:val="0"/>
        <w:jc w:val="both"/>
        <w:rPr>
          <w:b/>
        </w:rPr>
      </w:pPr>
    </w:p>
    <w:p w:rsidR="00E51486" w:rsidRPr="001C2DF8" w:rsidRDefault="00704CEA" w:rsidP="007B70B2">
      <w:pPr>
        <w:autoSpaceDE w:val="0"/>
        <w:autoSpaceDN w:val="0"/>
        <w:adjustRightInd w:val="0"/>
        <w:jc w:val="both"/>
      </w:pPr>
      <w:r w:rsidRPr="001C2DF8">
        <w:rPr>
          <w:b/>
        </w:rPr>
        <w:tab/>
      </w:r>
      <w:r w:rsidRPr="001C2DF8">
        <w:t>Mondandóm lényege</w:t>
      </w:r>
      <w:r w:rsidR="00B47A08" w:rsidRPr="001C2DF8">
        <w:t>:</w:t>
      </w:r>
      <w:r w:rsidRPr="001C2DF8">
        <w:t xml:space="preserve"> </w:t>
      </w:r>
      <w:r w:rsidR="00E51486" w:rsidRPr="001C2DF8">
        <w:t>rendelkezésünkre áll az az elmélet</w:t>
      </w:r>
      <w:r w:rsidRPr="001C2DF8">
        <w:t xml:space="preserve"> </w:t>
      </w:r>
      <w:r w:rsidR="00E51486" w:rsidRPr="001C2DF8">
        <w:t>és elméleti szempontrendszer, amely a piac kormányzásának stratégiáját a fejlődő országok (ideértv</w:t>
      </w:r>
      <w:r w:rsidR="00E719D9" w:rsidRPr="001C2DF8">
        <w:t xml:space="preserve">e </w:t>
      </w:r>
      <w:r w:rsidR="00C9283E" w:rsidRPr="001C2DF8">
        <w:t xml:space="preserve">a </w:t>
      </w:r>
      <w:r w:rsidR="00E719D9" w:rsidRPr="001C2DF8">
        <w:t>kelet-európaiakat</w:t>
      </w:r>
      <w:r w:rsidR="00E51486" w:rsidRPr="001C2DF8">
        <w:t xml:space="preserve"> is) összefüggésében támogatja, </w:t>
      </w:r>
      <w:r w:rsidR="00C9283E" w:rsidRPr="001C2DF8">
        <w:t xml:space="preserve">s </w:t>
      </w:r>
      <w:r w:rsidR="00E719D9" w:rsidRPr="001C2DF8">
        <w:t>amely olyan fogalmakra építi, mint amilyen a</w:t>
      </w:r>
      <w:r w:rsidR="00E51486" w:rsidRPr="001C2DF8">
        <w:t xml:space="preserve"> méretgazdaságosság</w:t>
      </w:r>
      <w:r w:rsidR="0019538C">
        <w:t xml:space="preserve"> (economies of scale)</w:t>
      </w:r>
      <w:r w:rsidR="00E51486" w:rsidRPr="001C2DF8">
        <w:t xml:space="preserve">, a </w:t>
      </w:r>
      <w:r w:rsidR="0019538C">
        <w:t xml:space="preserve">tevékeny </w:t>
      </w:r>
      <w:r w:rsidR="00E51486" w:rsidRPr="001C2DF8">
        <w:t>tanulás</w:t>
      </w:r>
      <w:r w:rsidR="0019538C">
        <w:t xml:space="preserve"> (learning by doing)</w:t>
      </w:r>
      <w:r w:rsidR="00E719D9" w:rsidRPr="001C2DF8">
        <w:t>,</w:t>
      </w:r>
      <w:r w:rsidR="00E51486" w:rsidRPr="001C2DF8">
        <w:t xml:space="preserve"> </w:t>
      </w:r>
      <w:r w:rsidR="0019538C">
        <w:t>a későn indulók</w:t>
      </w:r>
      <w:r w:rsidR="00E719D9" w:rsidRPr="001C2DF8">
        <w:t xml:space="preserve"> előnye</w:t>
      </w:r>
      <w:r w:rsidR="0019538C">
        <w:t xml:space="preserve"> (second mover advantages)</w:t>
      </w:r>
      <w:r w:rsidR="00E51486" w:rsidRPr="001C2DF8">
        <w:t>, a tra</w:t>
      </w:r>
      <w:r w:rsidR="00E719D9" w:rsidRPr="001C2DF8">
        <w:t xml:space="preserve">nsznacionális vállalatok </w:t>
      </w:r>
      <w:r w:rsidR="0019538C">
        <w:t>földrajzi</w:t>
      </w:r>
      <w:r w:rsidR="0019538C" w:rsidRPr="001C2DF8">
        <w:t xml:space="preserve"> </w:t>
      </w:r>
      <w:r w:rsidR="00E719D9" w:rsidRPr="001C2DF8">
        <w:t>kötöttsége</w:t>
      </w:r>
      <w:r w:rsidR="0019538C">
        <w:t xml:space="preserve"> (stickiness of location)</w:t>
      </w:r>
      <w:r w:rsidR="00E51486" w:rsidRPr="001C2DF8">
        <w:t xml:space="preserve"> és </w:t>
      </w:r>
      <w:r w:rsidR="00E719D9" w:rsidRPr="001C2DF8">
        <w:t>komparatív előny</w:t>
      </w:r>
      <w:r w:rsidR="0019538C">
        <w:t>ök konstruált jellege</w:t>
      </w:r>
      <w:r w:rsidR="000E75AB">
        <w:t xml:space="preserve"> (</w:t>
      </w:r>
      <w:r w:rsidR="000E75AB" w:rsidRPr="0082043C">
        <w:t>Toner</w:t>
      </w:r>
      <w:r w:rsidR="000E75AB">
        <w:t>, 1999)</w:t>
      </w:r>
      <w:r w:rsidR="00E719D9" w:rsidRPr="001C2DF8">
        <w:t xml:space="preserve">. </w:t>
      </w:r>
      <w:r w:rsidR="0019538C">
        <w:t>A</w:t>
      </w:r>
      <w:r w:rsidR="008E4C8F" w:rsidRPr="001C2DF8">
        <w:t xml:space="preserve"> témába vágó empirikus bizonyítékok is rendelkezésünkre állnak</w:t>
      </w:r>
      <w:r w:rsidR="0019538C">
        <w:t>, mégha</w:t>
      </w:r>
      <w:r w:rsidR="0019538C" w:rsidRPr="001C2DF8">
        <w:t xml:space="preserve"> </w:t>
      </w:r>
      <w:r w:rsidR="0019538C">
        <w:t>a</w:t>
      </w:r>
      <w:r w:rsidR="0019538C" w:rsidRPr="001C2DF8">
        <w:t xml:space="preserve"> hat</w:t>
      </w:r>
      <w:r w:rsidR="0019538C">
        <w:t>ékonyságra</w:t>
      </w:r>
      <w:r w:rsidR="0019538C" w:rsidRPr="001C2DF8">
        <w:t xml:space="preserve"> </w:t>
      </w:r>
      <w:r w:rsidR="008E4C8F" w:rsidRPr="001C2DF8">
        <w:t>vonatkozó végkövetkeztetések</w:t>
      </w:r>
      <w:r w:rsidR="0019538C">
        <w:t>et</w:t>
      </w:r>
      <w:r w:rsidR="008E4C8F" w:rsidRPr="001C2DF8">
        <w:t xml:space="preserve"> </w:t>
      </w:r>
      <w:r w:rsidR="0019538C">
        <w:t xml:space="preserve">egyesek </w:t>
      </w:r>
      <w:r w:rsidR="008E4C8F" w:rsidRPr="001C2DF8">
        <w:t>vitat</w:t>
      </w:r>
      <w:r w:rsidR="0019538C">
        <w:t>ják</w:t>
      </w:r>
      <w:r w:rsidR="008E4C8F" w:rsidRPr="001C2DF8">
        <w:t xml:space="preserve"> </w:t>
      </w:r>
      <w:r w:rsidR="0019538C">
        <w:t>is</w:t>
      </w:r>
      <w:r w:rsidR="0019538C" w:rsidRPr="001C2DF8">
        <w:t xml:space="preserve"> </w:t>
      </w:r>
      <w:r w:rsidR="008E4C8F" w:rsidRPr="001C2DF8">
        <w:t>–</w:t>
      </w:r>
      <w:r w:rsidR="00C718A9" w:rsidRPr="001C2DF8">
        <w:t xml:space="preserve"> </w:t>
      </w:r>
      <w:r w:rsidR="0019538C">
        <w:t xml:space="preserve">de nem kevésbé vitathatóak </w:t>
      </w:r>
      <w:r w:rsidR="008E4C8F" w:rsidRPr="001C2DF8">
        <w:t>a gazdasági tevékenységbe beavatkozó állami erőfeszítések hibáira rávilágító okfejtések is</w:t>
      </w:r>
      <w:r w:rsidR="00FD5F64">
        <w:t>.</w:t>
      </w:r>
    </w:p>
    <w:p w:rsidR="00CB65C1" w:rsidRPr="001C2DF8" w:rsidRDefault="00961B3F" w:rsidP="007B70B2">
      <w:pPr>
        <w:autoSpaceDE w:val="0"/>
        <w:autoSpaceDN w:val="0"/>
        <w:adjustRightInd w:val="0"/>
        <w:ind w:firstLine="708"/>
        <w:jc w:val="both"/>
      </w:pPr>
      <w:r w:rsidRPr="001C2DF8">
        <w:t>Az esettanulmányok</w:t>
      </w:r>
      <w:r w:rsidR="008E4C8F" w:rsidRPr="001C2DF8">
        <w:t>ból kiderül, hogy</w:t>
      </w:r>
      <w:r w:rsidRPr="001C2DF8">
        <w:t xml:space="preserve"> </w:t>
      </w:r>
      <w:r w:rsidR="00501E34" w:rsidRPr="001C2DF8">
        <w:t>az ipar</w:t>
      </w:r>
      <w:r w:rsidR="008E4C8F" w:rsidRPr="001C2DF8">
        <w:t xml:space="preserve">politika stratégái számára nem különösebben megterhelő feladat </w:t>
      </w:r>
      <w:r w:rsidR="00CB65C1" w:rsidRPr="001C2DF8">
        <w:t>a cél</w:t>
      </w:r>
      <w:r w:rsidR="008E4C8F" w:rsidRPr="001C2DF8">
        <w:t xml:space="preserve">termékek és </w:t>
      </w:r>
      <w:r w:rsidR="00CB65C1" w:rsidRPr="001C2DF8">
        <w:t xml:space="preserve">célzott </w:t>
      </w:r>
      <w:r w:rsidR="008E4C8F" w:rsidRPr="001C2DF8">
        <w:t>alágazatok az</w:t>
      </w:r>
      <w:r w:rsidR="00CB65C1" w:rsidRPr="001C2DF8">
        <w:t>onosítása.</w:t>
      </w:r>
      <w:r w:rsidR="008E4C8F" w:rsidRPr="001C2DF8">
        <w:t xml:space="preserve"> </w:t>
      </w:r>
      <w:r w:rsidR="00CB65C1" w:rsidRPr="001C2DF8">
        <w:t>E</w:t>
      </w:r>
      <w:r w:rsidR="008E4C8F" w:rsidRPr="001C2DF8">
        <w:t>hhez csupán a termelés költségeinek megbecslésére és az</w:t>
      </w:r>
      <w:r w:rsidR="00CB65C1" w:rsidRPr="001C2DF8">
        <w:t>oknak az</w:t>
      </w:r>
      <w:r w:rsidR="008E4C8F" w:rsidRPr="001C2DF8">
        <w:t xml:space="preserve"> import árakkal és minőséggel való </w:t>
      </w:r>
      <w:r w:rsidR="00CB65C1" w:rsidRPr="001C2DF8">
        <w:t>összevetésére</w:t>
      </w:r>
      <w:r w:rsidR="008E4C8F" w:rsidRPr="001C2DF8">
        <w:t xml:space="preserve">, a </w:t>
      </w:r>
      <w:r w:rsidR="005513C6">
        <w:t xml:space="preserve">kereslet </w:t>
      </w:r>
      <w:r w:rsidR="008E4C8F" w:rsidRPr="001C2DF8">
        <w:t>rugalmasság</w:t>
      </w:r>
      <w:r w:rsidR="005513C6">
        <w:t>ának</w:t>
      </w:r>
      <w:r w:rsidR="008E4C8F" w:rsidRPr="001C2DF8">
        <w:t xml:space="preserve"> </w:t>
      </w:r>
      <w:r w:rsidR="005513C6">
        <w:t>kiszámítására</w:t>
      </w:r>
      <w:r w:rsidR="008E4C8F" w:rsidRPr="001C2DF8">
        <w:t xml:space="preserve"> </w:t>
      </w:r>
      <w:r w:rsidR="005513C6">
        <w:t>illetve más</w:t>
      </w:r>
      <w:r w:rsidR="00CB65C1" w:rsidRPr="001C2DF8">
        <w:t xml:space="preserve"> ezekhez </w:t>
      </w:r>
      <w:r w:rsidR="008E4C8F" w:rsidRPr="001C2DF8">
        <w:t>hasonló számításokra van szükség</w:t>
      </w:r>
      <w:r w:rsidR="00CB65C1" w:rsidRPr="001C2DF8">
        <w:t>,</w:t>
      </w:r>
      <w:r w:rsidR="008E4C8F" w:rsidRPr="001C2DF8">
        <w:t xml:space="preserve"> amelyeket a transznacionális cégek amúgy is naponta végeznek</w:t>
      </w:r>
      <w:r w:rsidR="00CB65C1" w:rsidRPr="001C2DF8">
        <w:t xml:space="preserve">; </w:t>
      </w:r>
      <w:r w:rsidR="008E4C8F" w:rsidRPr="001C2DF8">
        <w:t xml:space="preserve">valamint </w:t>
      </w:r>
      <w:r w:rsidR="00CB65C1" w:rsidRPr="001C2DF8">
        <w:t>u</w:t>
      </w:r>
      <w:r w:rsidR="008E4C8F" w:rsidRPr="001C2DF8">
        <w:t>g</w:t>
      </w:r>
      <w:r w:rsidR="00CB65C1" w:rsidRPr="001C2DF8">
        <w:t>yan</w:t>
      </w:r>
      <w:r w:rsidR="008E4C8F" w:rsidRPr="001C2DF8">
        <w:t xml:space="preserve">ezen vállalatok </w:t>
      </w:r>
      <w:r w:rsidR="00CB65C1" w:rsidRPr="001C2DF8">
        <w:t xml:space="preserve">alkudozási stratégiáit kell megérteni, és azt, hogy miként </w:t>
      </w:r>
      <w:r w:rsidR="005513C6">
        <w:t>fordíthatóak</w:t>
      </w:r>
      <w:r w:rsidR="005513C6" w:rsidRPr="001C2DF8">
        <w:t xml:space="preserve"> </w:t>
      </w:r>
      <w:r w:rsidR="00CB65C1" w:rsidRPr="001C2DF8">
        <w:t>azok a nemzet előnyére</w:t>
      </w:r>
      <w:r w:rsidR="00DE6885">
        <w:t>.</w:t>
      </w:r>
    </w:p>
    <w:p w:rsidR="00D21D6F" w:rsidRPr="001C2DF8" w:rsidRDefault="00961B3F" w:rsidP="007B70B2">
      <w:pPr>
        <w:autoSpaceDE w:val="0"/>
        <w:autoSpaceDN w:val="0"/>
        <w:adjustRightInd w:val="0"/>
        <w:ind w:firstLine="708"/>
        <w:jc w:val="both"/>
      </w:pPr>
      <w:r w:rsidRPr="001C2DF8">
        <w:t>Kelet-Európa esetében fontos, hogy</w:t>
      </w:r>
      <w:r w:rsidR="00CB65C1" w:rsidRPr="001C2DF8">
        <w:t xml:space="preserve"> a külföldi </w:t>
      </w:r>
      <w:r w:rsidR="00C02BE7">
        <w:t>működőtőke-</w:t>
      </w:r>
      <w:r w:rsidR="00CB65C1" w:rsidRPr="001C2DF8">
        <w:t xml:space="preserve">beruházásoknak ne csupán </w:t>
      </w:r>
      <w:r w:rsidR="00501E34" w:rsidRPr="001C2DF8">
        <w:t xml:space="preserve">helyszíne legyen, </w:t>
      </w:r>
      <w:r w:rsidR="00C02BE7">
        <w:t xml:space="preserve">hanem </w:t>
      </w:r>
      <w:r w:rsidR="00501E34" w:rsidRPr="001C2DF8">
        <w:t>hogy az iparp</w:t>
      </w:r>
      <w:r w:rsidR="00CB65C1" w:rsidRPr="001C2DF8">
        <w:t>olitika stratégái saját külföldi beruházásokban gondolkozzanak</w:t>
      </w:r>
      <w:r w:rsidR="00BF3620">
        <w:t>,</w:t>
      </w:r>
      <w:r w:rsidR="00CB65C1" w:rsidRPr="001C2DF8">
        <w:t xml:space="preserve"> </w:t>
      </w:r>
      <w:r w:rsidR="00C02BE7">
        <w:t>f</w:t>
      </w:r>
      <w:r w:rsidR="00CB65C1" w:rsidRPr="001C2DF8">
        <w:t>úziók</w:t>
      </w:r>
      <w:r w:rsidR="00C02BE7">
        <w:t>,</w:t>
      </w:r>
      <w:r w:rsidR="00CB65C1" w:rsidRPr="001C2DF8">
        <w:t xml:space="preserve"> felvásárlások </w:t>
      </w:r>
      <w:r w:rsidR="00C02BE7">
        <w:t>illetve a centrumországokban végrehajtott</w:t>
      </w:r>
      <w:r w:rsidR="00CB65C1" w:rsidRPr="001C2DF8">
        <w:t xml:space="preserve"> zöldmezős beruházások</w:t>
      </w:r>
      <w:r w:rsidR="00C02BE7">
        <w:t xml:space="preserve"> finanszírozására öszötnözve a </w:t>
      </w:r>
      <w:r w:rsidR="00C02BE7" w:rsidRPr="001C2DF8">
        <w:t>jelentős tőkeállománnyal rendelkező bankokat</w:t>
      </w:r>
      <w:r w:rsidR="00D21D6F" w:rsidRPr="001C2DF8">
        <w:t xml:space="preserve">. Mindez </w:t>
      </w:r>
      <w:r w:rsidR="00BF3620" w:rsidRPr="001C2DF8">
        <w:t xml:space="preserve">segíthet </w:t>
      </w:r>
      <w:r w:rsidR="00BF3620">
        <w:t>kitörni</w:t>
      </w:r>
      <w:r w:rsidR="00BF3620" w:rsidRPr="001C2DF8">
        <w:t xml:space="preserve"> </w:t>
      </w:r>
      <w:r w:rsidR="00D21D6F" w:rsidRPr="001C2DF8">
        <w:t xml:space="preserve">a </w:t>
      </w:r>
      <w:r w:rsidR="00BF3620">
        <w:t>centrum</w:t>
      </w:r>
      <w:r w:rsidR="00D21D6F" w:rsidRPr="001C2DF8">
        <w:t>-periféria gondolkodásmód</w:t>
      </w:r>
      <w:r w:rsidR="00BF3620">
        <w:t>já</w:t>
      </w:r>
      <w:r w:rsidR="00D21D6F" w:rsidRPr="001C2DF8">
        <w:t xml:space="preserve">ból, mely a periféria üdvösségét a </w:t>
      </w:r>
      <w:r w:rsidR="00BF3620">
        <w:t>centrum</w:t>
      </w:r>
      <w:r w:rsidR="00BF3620" w:rsidRPr="001C2DF8">
        <w:t xml:space="preserve"> </w:t>
      </w:r>
      <w:r w:rsidR="00BF3620">
        <w:t>erő</w:t>
      </w:r>
      <w:r w:rsidR="00D21D6F" w:rsidRPr="001C2DF8">
        <w:t xml:space="preserve">forrásainak </w:t>
      </w:r>
      <w:r w:rsidR="00BF3620">
        <w:t>odacsalogatásában</w:t>
      </w:r>
      <w:r w:rsidR="00BF3620" w:rsidRPr="001C2DF8">
        <w:t xml:space="preserve"> </w:t>
      </w:r>
      <w:r w:rsidR="00D21D6F" w:rsidRPr="001C2DF8">
        <w:t xml:space="preserve">látja. Még egyszer megismétlem, </w:t>
      </w:r>
      <w:r w:rsidR="00D21D6F" w:rsidRPr="001C2DF8">
        <w:lastRenderedPageBreak/>
        <w:t xml:space="preserve">Tajvan és a többi kelet-ázsiai ország </w:t>
      </w:r>
      <w:r w:rsidRPr="001C2DF8">
        <w:t xml:space="preserve">példája azt </w:t>
      </w:r>
      <w:r w:rsidR="00D21D6F" w:rsidRPr="001C2DF8">
        <w:t xml:space="preserve">szemlélteti, hogy miként járulhat hozzá a kormányzat ahhoz, hogy a külföldi befektetések összhangban álljanak a nemzeti érdekkel.  </w:t>
      </w:r>
    </w:p>
    <w:p w:rsidR="00D21D6F" w:rsidRPr="001C2DF8" w:rsidRDefault="00D21D6F" w:rsidP="007B70B2">
      <w:pPr>
        <w:autoSpaceDE w:val="0"/>
        <w:autoSpaceDN w:val="0"/>
        <w:adjustRightInd w:val="0"/>
        <w:jc w:val="both"/>
        <w:rPr>
          <w:b/>
        </w:rPr>
      </w:pPr>
      <w:r w:rsidRPr="001C2DF8">
        <w:tab/>
      </w:r>
      <w:r w:rsidR="00BF3620">
        <w:t>A nehézség elsősorban nem a</w:t>
      </w:r>
      <w:r w:rsidRPr="001C2DF8">
        <w:t xml:space="preserve"> </w:t>
      </w:r>
      <w:r w:rsidR="00BF3620">
        <w:t xml:space="preserve">közpolitiki eszközökben rejlik, </w:t>
      </w:r>
      <w:r w:rsidR="00C344CC" w:rsidRPr="001C2DF8">
        <w:t xml:space="preserve">mint inkább </w:t>
      </w:r>
      <w:r w:rsidRPr="001C2DF8">
        <w:t>annak a hivatalnoki karnak</w:t>
      </w:r>
      <w:r w:rsidR="00BF3620">
        <w:t xml:space="preserve"> </w:t>
      </w:r>
      <w:r w:rsidR="00F80134" w:rsidRPr="001C2DF8">
        <w:t xml:space="preserve">– vagy akár a fent említett nagyobb rendszernek, a </w:t>
      </w:r>
      <w:r w:rsidR="00631FBD">
        <w:t>fejlesztő állam</w:t>
      </w:r>
      <w:r w:rsidR="00F80134" w:rsidRPr="001C2DF8">
        <w:t xml:space="preserve">nak </w:t>
      </w:r>
      <w:r w:rsidR="00BF3620">
        <w:t>–</w:t>
      </w:r>
      <w:r w:rsidR="00F80134" w:rsidRPr="001C2DF8">
        <w:t xml:space="preserve"> </w:t>
      </w:r>
      <w:r w:rsidR="00BF3620">
        <w:t>a létrehozásában</w:t>
      </w:r>
      <w:r w:rsidR="00F80134" w:rsidRPr="001C2DF8">
        <w:t>,</w:t>
      </w:r>
      <w:r w:rsidRPr="001C2DF8">
        <w:t xml:space="preserve"> amely motivált abban, hogy a kitűzött célok megvalósuljanak. </w:t>
      </w:r>
      <w:r w:rsidR="00F80134" w:rsidRPr="00BF3620">
        <w:t xml:space="preserve">Ám a kelet-európai államok képességét az sem haladhatja meg, hogy olyan, viszonylag meritokratikus </w:t>
      </w:r>
      <w:r w:rsidR="00BF3620" w:rsidRPr="00BF3620">
        <w:t xml:space="preserve">hivatalt </w:t>
      </w:r>
      <w:r w:rsidR="00F80134" w:rsidRPr="00BF3620">
        <w:t>hozzanak létre, mint amilyen a tajvani Ipar</w:t>
      </w:r>
      <w:r w:rsidR="00BF3620" w:rsidRPr="00BF3620">
        <w:t>f</w:t>
      </w:r>
      <w:r w:rsidR="00F80134" w:rsidRPr="00BF3620">
        <w:t>ejlesztési Hivatal.</w:t>
      </w:r>
    </w:p>
    <w:p w:rsidR="00961B3F" w:rsidRPr="0032644F" w:rsidRDefault="00F80134" w:rsidP="007B70B2">
      <w:pPr>
        <w:autoSpaceDE w:val="0"/>
        <w:autoSpaceDN w:val="0"/>
        <w:adjustRightInd w:val="0"/>
        <w:ind w:firstLine="708"/>
        <w:jc w:val="both"/>
      </w:pPr>
      <w:r w:rsidRPr="001C2DF8">
        <w:t xml:space="preserve">A siker </w:t>
      </w:r>
      <w:r w:rsidR="008937FB">
        <w:t>azonban leginkább</w:t>
      </w:r>
      <w:r w:rsidR="008937FB" w:rsidRPr="001C2DF8">
        <w:t xml:space="preserve"> </w:t>
      </w:r>
      <w:r w:rsidRPr="001C2DF8">
        <w:t>a normák</w:t>
      </w:r>
      <w:r w:rsidR="008937FB">
        <w:t>on,</w:t>
      </w:r>
      <w:r w:rsidRPr="001C2DF8">
        <w:t xml:space="preserve"> </w:t>
      </w:r>
      <w:r w:rsidR="00932E3F" w:rsidRPr="001C2DF8">
        <w:t>a gazdasági tevékenységbe való állami beavatkozás legitimációján múlik. A tajvani Ip</w:t>
      </w:r>
      <w:r w:rsidR="00C718A9" w:rsidRPr="001C2DF8">
        <w:t>ari</w:t>
      </w:r>
      <w:r w:rsidR="008937FB">
        <w:t>f</w:t>
      </w:r>
      <w:r w:rsidR="00C718A9" w:rsidRPr="001C2DF8">
        <w:t xml:space="preserve">ejlesztési Hivatal </w:t>
      </w:r>
      <w:r w:rsidR="00932E3F" w:rsidRPr="00C02939">
        <w:rPr>
          <w:i/>
        </w:rPr>
        <w:t>Goethe</w:t>
      </w:r>
      <w:r w:rsidR="00932E3F" w:rsidRPr="001C2DF8">
        <w:t xml:space="preserve"> korábban már idézett gondolatát tűzte zászlajára</w:t>
      </w:r>
      <w:r w:rsidR="00C02939">
        <w:t xml:space="preserve"> (</w:t>
      </w:r>
      <w:r w:rsidR="0032644F">
        <w:t>„</w:t>
      </w:r>
      <w:r w:rsidR="0032644F" w:rsidRPr="0032644F">
        <w:rPr>
          <w:i/>
        </w:rPr>
        <w:t>a legfontosabb dolog az életben, hogy legyen célunk, valamint eltökéltségünk, hogy elérjük azt</w:t>
      </w:r>
      <w:r w:rsidR="0032644F">
        <w:t>”)</w:t>
      </w:r>
      <w:r w:rsidR="00932E3F" w:rsidRPr="001C2DF8">
        <w:t>. A másik oldalon, „a nemzetközi fejl</w:t>
      </w:r>
      <w:r w:rsidR="008937FB">
        <w:t>esztési közösség</w:t>
      </w:r>
      <w:r w:rsidR="00932E3F" w:rsidRPr="001C2DF8">
        <w:t>”</w:t>
      </w:r>
      <w:r w:rsidR="008937FB">
        <w:t xml:space="preserve"> valamint</w:t>
      </w:r>
      <w:r w:rsidR="00932E3F" w:rsidRPr="001C2DF8">
        <w:t xml:space="preserve"> </w:t>
      </w:r>
      <w:r w:rsidR="008937FB">
        <w:t xml:space="preserve">a </w:t>
      </w:r>
      <w:r w:rsidR="00B47A08" w:rsidRPr="001C2DF8">
        <w:t>közgazdász</w:t>
      </w:r>
      <w:r w:rsidR="008937FB">
        <w:t>ok</w:t>
      </w:r>
      <w:r w:rsidR="00932E3F" w:rsidRPr="001C2DF8">
        <w:t xml:space="preserve"> </w:t>
      </w:r>
      <w:r w:rsidR="008937FB">
        <w:t>transznacionális közössége a</w:t>
      </w:r>
      <w:r w:rsidR="00932E3F" w:rsidRPr="001C2DF8">
        <w:t xml:space="preserve"> Thatcher korszak vezető közgazdászának</w:t>
      </w:r>
      <w:r w:rsidR="005E2C9A" w:rsidRPr="001C2DF8">
        <w:t xml:space="preserve">, </w:t>
      </w:r>
      <w:r w:rsidR="005E2C9A" w:rsidRPr="0032644F">
        <w:t>Sir Terence Burns</w:t>
      </w:r>
      <w:r w:rsidR="0032644F" w:rsidRPr="0032644F">
        <w:t>nak</w:t>
      </w:r>
      <w:r w:rsidR="0032644F">
        <w:rPr>
          <w:i/>
        </w:rPr>
        <w:t xml:space="preserve"> </w:t>
      </w:r>
      <w:r w:rsidR="0032644F">
        <w:t>a</w:t>
      </w:r>
      <w:r w:rsidR="005E2C9A" w:rsidRPr="001C2DF8">
        <w:t xml:space="preserve"> </w:t>
      </w:r>
      <w:r w:rsidR="008937FB">
        <w:t>szavait tartja iránymutatónak</w:t>
      </w:r>
      <w:r w:rsidR="00C718A9" w:rsidRPr="001C2DF8">
        <w:t>: „</w:t>
      </w:r>
      <w:r w:rsidR="00C718A9" w:rsidRPr="0032644F">
        <w:rPr>
          <w:i/>
        </w:rPr>
        <w:t>H</w:t>
      </w:r>
      <w:r w:rsidR="00932E3F" w:rsidRPr="0032644F">
        <w:rPr>
          <w:i/>
        </w:rPr>
        <w:t xml:space="preserve">a a gyártás </w:t>
      </w:r>
      <w:r w:rsidR="008937FB" w:rsidRPr="0032644F">
        <w:rPr>
          <w:i/>
        </w:rPr>
        <w:t xml:space="preserve">már </w:t>
      </w:r>
      <w:r w:rsidR="00932E3F" w:rsidRPr="0032644F">
        <w:rPr>
          <w:i/>
        </w:rPr>
        <w:t>nem hoz pénzt a házhoz, akkor jobb, ha valami más tennivaló után nézünk</w:t>
      </w:r>
      <w:r w:rsidR="00932E3F" w:rsidRPr="001C2DF8">
        <w:t>.” A Reagan érában a Gazdasági Tanácsadó Tanács</w:t>
      </w:r>
      <w:r w:rsidR="008937FB">
        <w:t xml:space="preserve"> (Council of Economic Advisors)</w:t>
      </w:r>
      <w:r w:rsidR="00932E3F" w:rsidRPr="001C2DF8">
        <w:t xml:space="preserve"> elnöki posztját betöltő </w:t>
      </w:r>
      <w:r w:rsidR="00932E3F" w:rsidRPr="0032644F">
        <w:t>Herbert Stein</w:t>
      </w:r>
      <w:r w:rsidR="00932E3F" w:rsidRPr="001C2DF8">
        <w:t xml:space="preserve"> szavai ugyanezt példázzák: „</w:t>
      </w:r>
      <w:r w:rsidR="00932E3F" w:rsidRPr="0032644F">
        <w:rPr>
          <w:i/>
        </w:rPr>
        <w:t xml:space="preserve">Ha Amerika </w:t>
      </w:r>
      <w:r w:rsidR="005E2C9A" w:rsidRPr="0032644F">
        <w:rPr>
          <w:i/>
        </w:rPr>
        <w:t>a legegyszerűbben azáltal tud acélhoz jutni, hogy Dallas kazett</w:t>
      </w:r>
      <w:r w:rsidR="008937FB" w:rsidRPr="0032644F">
        <w:rPr>
          <w:i/>
        </w:rPr>
        <w:t>ekát állít elő</w:t>
      </w:r>
      <w:r w:rsidR="005E2C9A" w:rsidRPr="0032644F">
        <w:rPr>
          <w:i/>
        </w:rPr>
        <w:t xml:space="preserve"> </w:t>
      </w:r>
      <w:r w:rsidR="008937FB" w:rsidRPr="0032644F">
        <w:rPr>
          <w:i/>
        </w:rPr>
        <w:t xml:space="preserve">és ad el </w:t>
      </w:r>
      <w:r w:rsidR="00932E3F" w:rsidRPr="0032644F">
        <w:rPr>
          <w:i/>
        </w:rPr>
        <w:t xml:space="preserve">a japánoknak, akkor a Dallas kazetták </w:t>
      </w:r>
      <w:r w:rsidR="005E2C9A" w:rsidRPr="0032644F">
        <w:rPr>
          <w:i/>
        </w:rPr>
        <w:t xml:space="preserve">gyártása </w:t>
      </w:r>
      <w:r w:rsidR="00932E3F" w:rsidRPr="0032644F">
        <w:rPr>
          <w:i/>
        </w:rPr>
        <w:t>a mi vezető iparágunk</w:t>
      </w:r>
      <w:r w:rsidR="000E75AB">
        <w:t xml:space="preserve">” (idézi </w:t>
      </w:r>
      <w:r w:rsidR="000E75AB" w:rsidRPr="0082043C">
        <w:t>Wade</w:t>
      </w:r>
      <w:r w:rsidR="000E75AB">
        <w:t>, 1992).</w:t>
      </w:r>
      <w:r w:rsidR="00932E3F" w:rsidRPr="001C2DF8">
        <w:t xml:space="preserve"> </w:t>
      </w:r>
      <w:r w:rsidR="005E2C9A" w:rsidRPr="001C2DF8">
        <w:t xml:space="preserve">Burns és Stein abbéli meggyőződésüknek adnak hangot, hogy a </w:t>
      </w:r>
      <w:r w:rsidR="008937FB">
        <w:t xml:space="preserve">tökéletes </w:t>
      </w:r>
      <w:r w:rsidR="005E2C9A" w:rsidRPr="001C2DF8">
        <w:t xml:space="preserve">verseny modellje </w:t>
      </w:r>
      <w:r w:rsidR="008937FB">
        <w:t>jó közelítése a valóságnak</w:t>
      </w:r>
      <w:r w:rsidR="005E2C9A" w:rsidRPr="001C2DF8">
        <w:t>, míg a Goethe idézet</w:t>
      </w:r>
      <w:r w:rsidR="008937FB">
        <w:t>, ahogy azt</w:t>
      </w:r>
      <w:r w:rsidR="005E2C9A" w:rsidRPr="001C2DF8">
        <w:t xml:space="preserve"> Tajvan</w:t>
      </w:r>
      <w:r w:rsidR="008937FB">
        <w:t>ban</w:t>
      </w:r>
      <w:r w:rsidR="005E2C9A" w:rsidRPr="001C2DF8">
        <w:t xml:space="preserve"> </w:t>
      </w:r>
      <w:r w:rsidR="008937FB">
        <w:t>alkalmazták</w:t>
      </w:r>
      <w:r w:rsidR="005E2C9A" w:rsidRPr="001C2DF8">
        <w:t xml:space="preserve">, </w:t>
      </w:r>
      <w:r w:rsidR="008937FB">
        <w:t xml:space="preserve">abból a feltevésből indul ki, </w:t>
      </w:r>
      <w:r w:rsidR="005E2C9A" w:rsidRPr="001C2DF8">
        <w:t>hogy a való</w:t>
      </w:r>
      <w:r w:rsidR="008937FB">
        <w:t>ságot</w:t>
      </w:r>
      <w:r w:rsidR="005E2C9A" w:rsidRPr="001C2DF8">
        <w:t xml:space="preserve"> </w:t>
      </w:r>
      <w:r w:rsidR="008937FB">
        <w:t>jobban leírja az oligopolisztikus modell,</w:t>
      </w:r>
      <w:r w:rsidR="00C02939">
        <w:t xml:space="preserve"> melyben</w:t>
      </w:r>
      <w:r w:rsidR="005E2C9A" w:rsidRPr="001C2DF8">
        <w:t xml:space="preserve"> a</w:t>
      </w:r>
      <w:r w:rsidR="00482C06" w:rsidRPr="001C2DF8">
        <w:t xml:space="preserve"> piac kormányzás</w:t>
      </w:r>
      <w:r w:rsidR="00C02939">
        <w:t>a</w:t>
      </w:r>
      <w:r w:rsidR="00482C06" w:rsidRPr="001C2DF8">
        <w:t xml:space="preserve"> </w:t>
      </w:r>
      <w:r w:rsidR="00C02939">
        <w:t>komoly nyereséggel kecsegtet</w:t>
      </w:r>
      <w:r w:rsidR="00482C06" w:rsidRPr="001C2DF8">
        <w:rPr>
          <w:rStyle w:val="Kiemels"/>
          <w:b w:val="0"/>
          <w:color w:val="000000"/>
        </w:rPr>
        <w:t xml:space="preserve">. </w:t>
      </w:r>
      <w:r w:rsidR="00482C06" w:rsidRPr="001C2DF8">
        <w:t xml:space="preserve">A </w:t>
      </w:r>
      <w:r w:rsidR="00961B3F" w:rsidRPr="001C2DF8">
        <w:t xml:space="preserve">kelet-európai közgazdászok és politikusok </w:t>
      </w:r>
      <w:r w:rsidR="00482C06" w:rsidRPr="001C2DF8">
        <w:t>Burns és Stei</w:t>
      </w:r>
      <w:r w:rsidR="00C02939">
        <w:t>n</w:t>
      </w:r>
      <w:r w:rsidR="00482C06" w:rsidRPr="001C2DF8">
        <w:t xml:space="preserve"> elgondolásában hisznek, </w:t>
      </w:r>
      <w:r w:rsidR="00482C06" w:rsidRPr="0032644F">
        <w:t xml:space="preserve">kockáztatva ezzel gazdaságaik nyugathoz való felzárkózását.  </w:t>
      </w:r>
    </w:p>
    <w:p w:rsidR="00482C06" w:rsidRPr="0032644F" w:rsidRDefault="00482C06" w:rsidP="007B70B2">
      <w:pPr>
        <w:autoSpaceDE w:val="0"/>
        <w:autoSpaceDN w:val="0"/>
        <w:adjustRightInd w:val="0"/>
        <w:ind w:firstLine="708"/>
        <w:jc w:val="both"/>
      </w:pPr>
    </w:p>
    <w:p w:rsidR="003A5AEB" w:rsidRPr="001C2DF8" w:rsidRDefault="003A5AEB" w:rsidP="007B70B2">
      <w:pPr>
        <w:ind w:firstLine="708"/>
        <w:jc w:val="both"/>
      </w:pPr>
    </w:p>
    <w:p w:rsidR="006339AB" w:rsidRPr="001C2DF8" w:rsidRDefault="006359CB" w:rsidP="007B70B2">
      <w:pPr>
        <w:ind w:firstLine="708"/>
        <w:jc w:val="both"/>
      </w:pPr>
      <w:r>
        <w:t>Fordította: Szilágyi Anna</w:t>
      </w:r>
    </w:p>
    <w:p w:rsidR="006339AB" w:rsidRPr="007160DE" w:rsidRDefault="00631FBD" w:rsidP="007B70B2">
      <w:pPr>
        <w:ind w:firstLine="708"/>
        <w:jc w:val="both"/>
        <w:rPr>
          <w:b/>
        </w:rPr>
      </w:pPr>
      <w:r>
        <w:rPr>
          <w:b/>
        </w:rPr>
        <w:br w:type="page"/>
      </w:r>
      <w:r w:rsidR="00020BB9" w:rsidRPr="007160DE">
        <w:rPr>
          <w:b/>
        </w:rPr>
        <w:lastRenderedPageBreak/>
        <w:t>Hivatkozások</w:t>
      </w:r>
    </w:p>
    <w:p w:rsidR="00020BB9" w:rsidRPr="007160DE" w:rsidRDefault="00020BB9" w:rsidP="007B70B2">
      <w:pPr>
        <w:ind w:firstLine="708"/>
        <w:jc w:val="both"/>
      </w:pPr>
    </w:p>
    <w:p w:rsidR="00020BB9" w:rsidRPr="007160DE" w:rsidRDefault="00020BB9" w:rsidP="007B70B2">
      <w:pPr>
        <w:ind w:firstLine="708"/>
        <w:jc w:val="both"/>
      </w:pP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Amsden, A. and Chu, W.W. (2003):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Beyond Late Development: Taiwan's Upgrading Process</w:t>
      </w:r>
      <w:r w:rsidRPr="007160DE">
        <w:rPr>
          <w:color w:val="000000"/>
        </w:rPr>
        <w:t>, MIT Press.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Barnes, J., Kaplinsky, R. and Morris, M. (2004): "Industrial policy in developing economies: developing dynamic comparative advantage in the South African auto sector",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Competition and Change</w:t>
      </w:r>
      <w:r w:rsidRPr="007160DE">
        <w:rPr>
          <w:rStyle w:val="apple-converted-space"/>
          <w:color w:val="000000"/>
        </w:rPr>
        <w:t> </w:t>
      </w:r>
      <w:r w:rsidRPr="007160DE">
        <w:rPr>
          <w:color w:val="000000"/>
        </w:rPr>
        <w:t>8, 2, 2004, pp. 153-72.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Collignon, S. (2004): "Investing in the new member states", Power Point presentation, European Investment Bank Forum, Warsaw, 14-15. October, 2004.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Chibber, V. (2003):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Locked in Place</w:t>
      </w:r>
      <w:r w:rsidRPr="007160DE">
        <w:rPr>
          <w:color w:val="000000"/>
        </w:rPr>
        <w:t>, Princeton University Press.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Ellerman, D (2004):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Helping People Help Themselves</w:t>
      </w:r>
      <w:r w:rsidRPr="007160DE">
        <w:rPr>
          <w:color w:val="000000"/>
        </w:rPr>
        <w:t>, University of Michigan Press.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Fishlow, A., et al. (1994):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Miracle or Design</w:t>
      </w:r>
      <w:r w:rsidRPr="007160DE">
        <w:rPr>
          <w:color w:val="000000"/>
        </w:rPr>
        <w:t>? Lessons from the East Asian Experience, Overseas Development Council, Washington DC.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Moran, T. (1991):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Strategic trade theory and the use of performance requirements to negotiate with multinational corporations in the Third World</w:t>
      </w:r>
      <w:r w:rsidRPr="007160DE">
        <w:rPr>
          <w:color w:val="000000"/>
        </w:rPr>
        <w:t>, typescript, Georgetown University, October 1991.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Pack, H.</w:t>
      </w:r>
      <w:r w:rsidR="00D364F6">
        <w:rPr>
          <w:color w:val="000000"/>
        </w:rPr>
        <w:t xml:space="preserve"> (2000)</w:t>
      </w:r>
      <w:r w:rsidRPr="007160DE">
        <w:rPr>
          <w:color w:val="000000"/>
        </w:rPr>
        <w:t>: "Industrial policy: elixir or poison?"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World Bank Research Observer</w:t>
      </w:r>
      <w:r w:rsidRPr="007160DE">
        <w:rPr>
          <w:color w:val="000000"/>
        </w:rPr>
        <w:t>, 15.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Rodrik, D. (1999): "The Global Economy and Developing Countries: Making Openness Work",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Overseas Development Council</w:t>
      </w:r>
      <w:r w:rsidRPr="007160DE">
        <w:rPr>
          <w:color w:val="000000"/>
        </w:rPr>
        <w:t>, Washington DC.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Toner, P. (1999):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Main Currents in Cumulative Causation</w:t>
      </w:r>
      <w:r w:rsidRPr="007160DE">
        <w:rPr>
          <w:color w:val="000000"/>
        </w:rPr>
        <w:t>, Palgrave.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Wade, R.H. (2004):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Governing the Market</w:t>
      </w:r>
      <w:r w:rsidRPr="007160DE">
        <w:rPr>
          <w:color w:val="000000"/>
        </w:rPr>
        <w:t>, Princeton University Press.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Wade, R.H. (1992): "East Asia's economic success: conflicting perspectives, partial insights, shaky evidence",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World Politics</w:t>
      </w:r>
      <w:r w:rsidRPr="007160DE">
        <w:rPr>
          <w:color w:val="000000"/>
        </w:rPr>
        <w:t>, 44, January 1992, pp. 270-320.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Weiss, L. and Thurbon, E. (2004): "Where there's a will there's a way: Governing the Market in Times of Uncertainty",</w:t>
      </w:r>
      <w:r w:rsidRPr="007160DE">
        <w:rPr>
          <w:rStyle w:val="apple-converted-space"/>
          <w:i/>
          <w:iCs/>
          <w:color w:val="000000"/>
        </w:rPr>
        <w:t> </w:t>
      </w:r>
      <w:r w:rsidRPr="007160DE">
        <w:rPr>
          <w:i/>
          <w:iCs/>
          <w:color w:val="000000"/>
        </w:rPr>
        <w:t>Issues and Studies</w:t>
      </w:r>
      <w:r w:rsidRPr="007160DE">
        <w:rPr>
          <w:color w:val="000000"/>
        </w:rPr>
        <w:t>, 40, 1, March 2004, p. 61-72.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World Bank (1987):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World Development Report 1987</w:t>
      </w:r>
      <w:r w:rsidRPr="007160DE">
        <w:rPr>
          <w:color w:val="000000"/>
        </w:rPr>
        <w:t>, Washington DC: World Bank.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>World Bank (1993):</w:t>
      </w:r>
      <w:r w:rsidRPr="007160DE">
        <w:rPr>
          <w:rStyle w:val="apple-converted-space"/>
          <w:color w:val="000000"/>
        </w:rPr>
        <w:t> </w:t>
      </w:r>
      <w:r w:rsidRPr="007160DE">
        <w:rPr>
          <w:i/>
          <w:iCs/>
          <w:color w:val="000000"/>
        </w:rPr>
        <w:t>The Asian Miracle</w:t>
      </w:r>
      <w:r w:rsidRPr="007160DE">
        <w:rPr>
          <w:color w:val="000000"/>
        </w:rPr>
        <w:t>, Washington DC: World Bank.</w:t>
      </w:r>
    </w:p>
    <w:p w:rsidR="007160DE" w:rsidRPr="007160DE" w:rsidRDefault="007160DE" w:rsidP="007160DE">
      <w:pPr>
        <w:pStyle w:val="NormlWeb"/>
        <w:spacing w:before="0" w:beforeAutospacing="0" w:after="60" w:afterAutospacing="0"/>
        <w:ind w:left="709" w:hanging="709"/>
        <w:rPr>
          <w:color w:val="000000"/>
        </w:rPr>
      </w:pPr>
      <w:r w:rsidRPr="007160DE">
        <w:rPr>
          <w:color w:val="000000"/>
        </w:rPr>
        <w:t xml:space="preserve">World Bank (2000): </w:t>
      </w:r>
      <w:r w:rsidRPr="007160DE">
        <w:rPr>
          <w:i/>
          <w:color w:val="000000"/>
        </w:rPr>
        <w:t>World Development Report 1999/2000, Entering the 21rst Century</w:t>
      </w:r>
      <w:r w:rsidRPr="007160DE">
        <w:rPr>
          <w:color w:val="000000"/>
        </w:rPr>
        <w:t>. Washington DC: World Bank.</w:t>
      </w:r>
    </w:p>
    <w:p w:rsidR="00020BB9" w:rsidRDefault="00020BB9" w:rsidP="007B70B2">
      <w:pPr>
        <w:ind w:firstLine="708"/>
        <w:jc w:val="both"/>
      </w:pPr>
    </w:p>
    <w:p w:rsidR="00020BB9" w:rsidRPr="001C2DF8" w:rsidRDefault="00020BB9" w:rsidP="007B70B2">
      <w:pPr>
        <w:ind w:firstLine="708"/>
        <w:jc w:val="both"/>
      </w:pPr>
    </w:p>
    <w:p w:rsidR="00591EA4" w:rsidRPr="001C2DF8" w:rsidRDefault="00591EA4" w:rsidP="007B70B2">
      <w:pPr>
        <w:ind w:firstLine="708"/>
        <w:jc w:val="both"/>
      </w:pPr>
    </w:p>
    <w:p w:rsidR="00591EA4" w:rsidRPr="001C2DF8" w:rsidRDefault="00591EA4" w:rsidP="007B70B2">
      <w:pPr>
        <w:ind w:firstLine="708"/>
        <w:jc w:val="both"/>
      </w:pPr>
    </w:p>
    <w:p w:rsidR="00591EA4" w:rsidRPr="001C2DF8" w:rsidRDefault="00591EA4" w:rsidP="007B70B2">
      <w:pPr>
        <w:ind w:firstLine="708"/>
        <w:jc w:val="both"/>
      </w:pPr>
    </w:p>
    <w:p w:rsidR="00591EA4" w:rsidRPr="001C2DF8" w:rsidRDefault="00591EA4" w:rsidP="007B70B2">
      <w:pPr>
        <w:ind w:firstLine="708"/>
        <w:jc w:val="both"/>
      </w:pPr>
    </w:p>
    <w:p w:rsidR="00C66884" w:rsidRPr="001C2DF8" w:rsidRDefault="00C66884" w:rsidP="007B70B2">
      <w:pPr>
        <w:rPr>
          <w:b/>
        </w:rPr>
      </w:pPr>
    </w:p>
    <w:sectPr w:rsidR="00C66884" w:rsidRPr="001C2D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0C" w:rsidRDefault="0004290C">
      <w:r>
        <w:separator/>
      </w:r>
    </w:p>
  </w:endnote>
  <w:endnote w:type="continuationSeparator" w:id="0">
    <w:p w:rsidR="0004290C" w:rsidRDefault="0004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FB" w:rsidRDefault="008937FB" w:rsidP="009927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37FB" w:rsidRDefault="008937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FB" w:rsidRDefault="008937F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CA5">
      <w:rPr>
        <w:noProof/>
      </w:rPr>
      <w:t>4</w:t>
    </w:r>
    <w:r>
      <w:fldChar w:fldCharType="end"/>
    </w:r>
  </w:p>
  <w:p w:rsidR="008937FB" w:rsidRDefault="008937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0C" w:rsidRDefault="0004290C">
      <w:r>
        <w:separator/>
      </w:r>
    </w:p>
  </w:footnote>
  <w:footnote w:type="continuationSeparator" w:id="0">
    <w:p w:rsidR="0004290C" w:rsidRDefault="0004290C">
      <w:r>
        <w:continuationSeparator/>
      </w:r>
    </w:p>
  </w:footnote>
  <w:footnote w:id="1">
    <w:p w:rsidR="008937FB" w:rsidRDefault="008937FB">
      <w:pPr>
        <w:pStyle w:val="Lbjegyzetszveg"/>
      </w:pPr>
      <w:r>
        <w:rPr>
          <w:rStyle w:val="Lbjegyzet-hivatkozs"/>
        </w:rPr>
        <w:footnoteRef/>
      </w:r>
      <w:r>
        <w:t xml:space="preserve"> Az elnyomorító növekedés elméletét </w:t>
      </w:r>
      <w:r w:rsidRPr="002D5A8D">
        <w:rPr>
          <w:i/>
        </w:rPr>
        <w:t>Jagdish Bhagwati</w:t>
      </w:r>
      <w:r>
        <w:t xml:space="preserve"> dolgozta ki 1958-ban. Az elmélet szerint a gazdasági növekedés a jólét csökkenésével járhat, abban az esetben, ha a növekedés néhány alapvető termék vagy nyersanyag exportjára épül, amikor is nagy tömegű export révén esni kezdenek az árak, s ez hosszú távon több veszteséggel jár, mint amennyi bevételt hozni képes. </w:t>
      </w:r>
      <w:r w:rsidRPr="002D5A8D">
        <w:rPr>
          <w:i/>
        </w:rPr>
        <w:t>(A szerk.)</w:t>
      </w:r>
    </w:p>
  </w:footnote>
  <w:footnote w:id="2">
    <w:p w:rsidR="008937FB" w:rsidRPr="00CA4169" w:rsidRDefault="008937FB" w:rsidP="00A2587E">
      <w:pPr>
        <w:autoSpaceDE w:val="0"/>
        <w:autoSpaceDN w:val="0"/>
        <w:adjustRightInd w:val="0"/>
        <w:rPr>
          <w:sz w:val="18"/>
          <w:szCs w:val="18"/>
        </w:rPr>
      </w:pPr>
      <w:r w:rsidRPr="00CA4169">
        <w:rPr>
          <w:rStyle w:val="Lbjegyzet-hivatkozs"/>
          <w:sz w:val="18"/>
          <w:szCs w:val="18"/>
        </w:rPr>
        <w:footnoteRef/>
      </w:r>
      <w:r w:rsidRPr="00CA4169">
        <w:rPr>
          <w:sz w:val="18"/>
          <w:szCs w:val="18"/>
        </w:rPr>
        <w:t xml:space="preserve"> Az érvelést csupán kapitalista gazdaságokra vonatkozik.  </w:t>
      </w:r>
    </w:p>
  </w:footnote>
  <w:footnote w:id="3">
    <w:p w:rsidR="008937FB" w:rsidRPr="00CA4169" w:rsidRDefault="008937FB" w:rsidP="00A2587E">
      <w:pPr>
        <w:autoSpaceDE w:val="0"/>
        <w:autoSpaceDN w:val="0"/>
        <w:adjustRightInd w:val="0"/>
        <w:rPr>
          <w:iCs/>
          <w:sz w:val="18"/>
          <w:szCs w:val="18"/>
        </w:rPr>
      </w:pPr>
      <w:r w:rsidRPr="00CA4169">
        <w:rPr>
          <w:rStyle w:val="Lbjegyzet-hivatkozs"/>
          <w:sz w:val="18"/>
          <w:szCs w:val="18"/>
        </w:rPr>
        <w:footnoteRef/>
      </w:r>
      <w:r w:rsidRPr="00CA4169">
        <w:rPr>
          <w:sz w:val="18"/>
          <w:szCs w:val="18"/>
        </w:rPr>
        <w:t xml:space="preserve"> Másfelől</w:t>
      </w:r>
      <w:r>
        <w:rPr>
          <w:sz w:val="18"/>
          <w:szCs w:val="18"/>
        </w:rPr>
        <w:t xml:space="preserve"> nem mutatható ki erős korreláció</w:t>
      </w:r>
      <w:r w:rsidRPr="00CA4169">
        <w:rPr>
          <w:sz w:val="18"/>
          <w:szCs w:val="18"/>
        </w:rPr>
        <w:t xml:space="preserve"> az </w:t>
      </w:r>
      <w:r>
        <w:rPr>
          <w:sz w:val="18"/>
          <w:szCs w:val="18"/>
        </w:rPr>
        <w:t>tíz éves átlagos</w:t>
      </w:r>
      <w:r w:rsidRPr="00CA4169">
        <w:rPr>
          <w:sz w:val="18"/>
          <w:szCs w:val="18"/>
        </w:rPr>
        <w:t xml:space="preserve"> be</w:t>
      </w:r>
      <w:r>
        <w:rPr>
          <w:sz w:val="18"/>
          <w:szCs w:val="18"/>
        </w:rPr>
        <w:t>ruházási ráta</w:t>
      </w:r>
      <w:r w:rsidRPr="00CA4169">
        <w:rPr>
          <w:sz w:val="18"/>
          <w:szCs w:val="18"/>
        </w:rPr>
        <w:t xml:space="preserve"> és </w:t>
      </w:r>
      <w:r>
        <w:rPr>
          <w:sz w:val="18"/>
          <w:szCs w:val="18"/>
        </w:rPr>
        <w:t xml:space="preserve">a tíz éves </w:t>
      </w:r>
      <w:r w:rsidRPr="00CA4169">
        <w:rPr>
          <w:sz w:val="18"/>
          <w:szCs w:val="18"/>
        </w:rPr>
        <w:t xml:space="preserve">átlagos GDP növekedési </w:t>
      </w:r>
      <w:r>
        <w:rPr>
          <w:sz w:val="18"/>
          <w:szCs w:val="18"/>
        </w:rPr>
        <w:t>ütem</w:t>
      </w:r>
      <w:r w:rsidRPr="00CA4169">
        <w:rPr>
          <w:sz w:val="18"/>
          <w:szCs w:val="18"/>
        </w:rPr>
        <w:t xml:space="preserve"> között (1950-1990). </w:t>
      </w:r>
      <w:r>
        <w:rPr>
          <w:sz w:val="18"/>
          <w:szCs w:val="18"/>
        </w:rPr>
        <w:t>(</w:t>
      </w:r>
      <w:r w:rsidRPr="00CA4169">
        <w:rPr>
          <w:sz w:val="18"/>
          <w:szCs w:val="18"/>
        </w:rPr>
        <w:t>World Bank</w:t>
      </w:r>
      <w:r>
        <w:rPr>
          <w:sz w:val="18"/>
          <w:szCs w:val="18"/>
        </w:rPr>
        <w:t>, 2000, 9. ábra)</w:t>
      </w:r>
    </w:p>
  </w:footnote>
  <w:footnote w:id="4">
    <w:p w:rsidR="008937FB" w:rsidRPr="00501E34" w:rsidRDefault="008937FB" w:rsidP="000E75A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1E34">
        <w:rPr>
          <w:rStyle w:val="Lbjegyzet-hivatkozs"/>
          <w:sz w:val="18"/>
          <w:szCs w:val="18"/>
        </w:rPr>
        <w:footnoteRef/>
      </w:r>
      <w:r w:rsidRPr="00501E34">
        <w:rPr>
          <w:sz w:val="18"/>
          <w:szCs w:val="18"/>
        </w:rPr>
        <w:t xml:space="preserve"> A </w:t>
      </w:r>
      <w:r>
        <w:rPr>
          <w:sz w:val="18"/>
          <w:szCs w:val="18"/>
        </w:rPr>
        <w:t>Bank külkapcsolati osztálya (external affairs department)</w:t>
      </w:r>
      <w:r w:rsidRPr="00501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 következő iránymutatást fogalmazta meg a Bank kutaói számára: „Azok a munkatársak, akik </w:t>
      </w:r>
      <w:r w:rsidRPr="00501E34">
        <w:rPr>
          <w:sz w:val="18"/>
          <w:szCs w:val="18"/>
        </w:rPr>
        <w:t>beszédet, cikket, glosszát, szerkesztői levelet vagy olvasói levelet szándékozik közölni,</w:t>
      </w:r>
      <w:r>
        <w:rPr>
          <w:sz w:val="18"/>
          <w:szCs w:val="18"/>
        </w:rPr>
        <w:t xml:space="preserve"> tartsák szem előtt, hogy annak leszögezése, hogy a</w:t>
      </w:r>
      <w:r w:rsidRPr="00501E34">
        <w:rPr>
          <w:sz w:val="18"/>
          <w:szCs w:val="18"/>
        </w:rPr>
        <w:t xml:space="preserve"> szöveg írója vagy a beszélő személyes véleményének ad hangot kevéssé meggyőző és többnyire hatástalan. </w:t>
      </w:r>
      <w:r>
        <w:rPr>
          <w:sz w:val="18"/>
          <w:szCs w:val="18"/>
        </w:rPr>
        <w:t xml:space="preserve">Ezen túl nem mentesíti a munkatársat az alól, hogy kövesse a banki eljárásokat és tekintettel legyen arra, </w:t>
      </w:r>
      <w:r w:rsidRPr="00501E34">
        <w:rPr>
          <w:sz w:val="18"/>
          <w:szCs w:val="18"/>
        </w:rPr>
        <w:t>hogy a szervezet nevében beszél.</w:t>
      </w:r>
      <w:r>
        <w:rPr>
          <w:sz w:val="18"/>
          <w:szCs w:val="18"/>
        </w:rPr>
        <w:t>”</w:t>
      </w:r>
      <w:r w:rsidRPr="000E75AB">
        <w:t xml:space="preserve"> </w:t>
      </w:r>
      <w:r w:rsidRPr="000E75AB">
        <w:rPr>
          <w:sz w:val="18"/>
          <w:szCs w:val="18"/>
        </w:rPr>
        <w:t>(Idézi Ellerman, 2004:151)</w:t>
      </w:r>
    </w:p>
  </w:footnote>
  <w:footnote w:id="5">
    <w:p w:rsidR="008937FB" w:rsidRDefault="008937F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2043C">
        <w:t xml:space="preserve">A </w:t>
      </w:r>
      <w:r>
        <w:t xml:space="preserve">fejlesztő állam szerkezeti felépítéséről, </w:t>
      </w:r>
      <w:r w:rsidRPr="0082043C">
        <w:t>különös tekintettel Koreár</w:t>
      </w:r>
      <w:r>
        <w:t>a, bővebben ld.</w:t>
      </w:r>
      <w:r w:rsidRPr="0082043C">
        <w:t xml:space="preserve"> </w:t>
      </w:r>
      <w:r>
        <w:t>Chibber</w:t>
      </w:r>
      <w:r w:rsidRPr="0082043C">
        <w:t xml:space="preserve"> </w:t>
      </w:r>
      <w:r>
        <w:t>(2003).</w:t>
      </w:r>
    </w:p>
  </w:footnote>
  <w:footnote w:id="6">
    <w:p w:rsidR="008937FB" w:rsidRDefault="008937F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A072D">
        <w:t>A rádió frekvenciás azonosítás</w:t>
      </w:r>
      <w:r>
        <w:t xml:space="preserve"> (RFID)</w:t>
      </w:r>
      <w:r w:rsidRPr="00CA072D">
        <w:t xml:space="preserve"> tárgyak, élőlények</w:t>
      </w:r>
      <w:r>
        <w:t xml:space="preserve"> (akár emberek)</w:t>
      </w:r>
      <w:r w:rsidRPr="00CA072D">
        <w:t>, helyek azonosítás</w:t>
      </w:r>
      <w:r>
        <w:t>ára alkalmas</w:t>
      </w:r>
      <w:r w:rsidRPr="00CA072D">
        <w:t xml:space="preserve"> </w:t>
      </w:r>
      <w:r>
        <w:t>technológia, használják az áruházakban, könyvtárakban, díj-fieztésnél, nyílvántartó rendszerekben</w:t>
      </w:r>
      <w:r w:rsidRPr="00CA072D">
        <w:t>.</w:t>
      </w:r>
    </w:p>
  </w:footnote>
  <w:footnote w:id="7">
    <w:p w:rsidR="008937FB" w:rsidRPr="00501E34" w:rsidRDefault="008937FB" w:rsidP="009C31C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1E34">
        <w:rPr>
          <w:rStyle w:val="Lbjegyzet-hivatkozs"/>
          <w:sz w:val="18"/>
          <w:szCs w:val="18"/>
        </w:rPr>
        <w:footnoteRef/>
      </w:r>
      <w:r w:rsidRPr="00501E34">
        <w:rPr>
          <w:sz w:val="18"/>
          <w:szCs w:val="18"/>
        </w:rPr>
        <w:t xml:space="preserve"> E koreai telekommunikációs stratégia felrajzolásakor egy ismeretlen szerző elbírálás alatt álló kéziratának információira támaszkodtam: Liberalisation as a development strategy: new governance in the Korean mobile telecom market. </w:t>
      </w:r>
    </w:p>
    <w:p w:rsidR="008937FB" w:rsidRPr="009C31C2" w:rsidRDefault="008937FB" w:rsidP="009C31C2">
      <w:pPr>
        <w:pStyle w:val="Lbjegyzetszveg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1E75"/>
    <w:multiLevelType w:val="hybridMultilevel"/>
    <w:tmpl w:val="50F66954"/>
    <w:lvl w:ilvl="0" w:tplc="536E3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1D58"/>
    <w:multiLevelType w:val="hybridMultilevel"/>
    <w:tmpl w:val="BEA8B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9"/>
    <w:rsid w:val="00020BB9"/>
    <w:rsid w:val="0004290C"/>
    <w:rsid w:val="0004696C"/>
    <w:rsid w:val="00066AAC"/>
    <w:rsid w:val="00073740"/>
    <w:rsid w:val="00074DC8"/>
    <w:rsid w:val="00076CA5"/>
    <w:rsid w:val="00087240"/>
    <w:rsid w:val="000911FF"/>
    <w:rsid w:val="00091EEF"/>
    <w:rsid w:val="000E0AD5"/>
    <w:rsid w:val="000E62C9"/>
    <w:rsid w:val="000E75AB"/>
    <w:rsid w:val="000F61CC"/>
    <w:rsid w:val="00100B58"/>
    <w:rsid w:val="00112B88"/>
    <w:rsid w:val="0011302F"/>
    <w:rsid w:val="0015396F"/>
    <w:rsid w:val="00161175"/>
    <w:rsid w:val="001641A3"/>
    <w:rsid w:val="001805D2"/>
    <w:rsid w:val="0019538C"/>
    <w:rsid w:val="001962F8"/>
    <w:rsid w:val="001B7FDB"/>
    <w:rsid w:val="001C2DF8"/>
    <w:rsid w:val="001C7122"/>
    <w:rsid w:val="001D0864"/>
    <w:rsid w:val="001E25BD"/>
    <w:rsid w:val="001E60DC"/>
    <w:rsid w:val="001F0D86"/>
    <w:rsid w:val="002106E6"/>
    <w:rsid w:val="002109FF"/>
    <w:rsid w:val="00211FCE"/>
    <w:rsid w:val="0021380E"/>
    <w:rsid w:val="00242268"/>
    <w:rsid w:val="002670B8"/>
    <w:rsid w:val="002971E2"/>
    <w:rsid w:val="002A47FE"/>
    <w:rsid w:val="002B442E"/>
    <w:rsid w:val="002C64CA"/>
    <w:rsid w:val="002D0875"/>
    <w:rsid w:val="002D5A8D"/>
    <w:rsid w:val="002E6D84"/>
    <w:rsid w:val="00304A53"/>
    <w:rsid w:val="003074AC"/>
    <w:rsid w:val="003244B6"/>
    <w:rsid w:val="00324F02"/>
    <w:rsid w:val="0032644F"/>
    <w:rsid w:val="00327EBB"/>
    <w:rsid w:val="003445FA"/>
    <w:rsid w:val="00355DA3"/>
    <w:rsid w:val="003869D2"/>
    <w:rsid w:val="00392F56"/>
    <w:rsid w:val="003A5AEB"/>
    <w:rsid w:val="003A6C89"/>
    <w:rsid w:val="003A6E03"/>
    <w:rsid w:val="003A7E7D"/>
    <w:rsid w:val="003D4394"/>
    <w:rsid w:val="003E1CBE"/>
    <w:rsid w:val="003E5981"/>
    <w:rsid w:val="0040545C"/>
    <w:rsid w:val="0041391F"/>
    <w:rsid w:val="00417F98"/>
    <w:rsid w:val="004306C7"/>
    <w:rsid w:val="00457FAC"/>
    <w:rsid w:val="00464431"/>
    <w:rsid w:val="004656E1"/>
    <w:rsid w:val="00482C06"/>
    <w:rsid w:val="004D6F55"/>
    <w:rsid w:val="004E3E26"/>
    <w:rsid w:val="004F6679"/>
    <w:rsid w:val="00501E34"/>
    <w:rsid w:val="00506C3A"/>
    <w:rsid w:val="0052039F"/>
    <w:rsid w:val="0054771E"/>
    <w:rsid w:val="005477EC"/>
    <w:rsid w:val="005513C6"/>
    <w:rsid w:val="005602E0"/>
    <w:rsid w:val="00562D28"/>
    <w:rsid w:val="00564AEF"/>
    <w:rsid w:val="00565406"/>
    <w:rsid w:val="00567A4B"/>
    <w:rsid w:val="005724C2"/>
    <w:rsid w:val="005734F0"/>
    <w:rsid w:val="00580724"/>
    <w:rsid w:val="00581B61"/>
    <w:rsid w:val="005877E5"/>
    <w:rsid w:val="00591EA4"/>
    <w:rsid w:val="005964F0"/>
    <w:rsid w:val="005C4090"/>
    <w:rsid w:val="005E2C9A"/>
    <w:rsid w:val="005F745B"/>
    <w:rsid w:val="00631FBD"/>
    <w:rsid w:val="006339AB"/>
    <w:rsid w:val="006359CB"/>
    <w:rsid w:val="006427D0"/>
    <w:rsid w:val="00651A84"/>
    <w:rsid w:val="00655284"/>
    <w:rsid w:val="00661E9D"/>
    <w:rsid w:val="006657A2"/>
    <w:rsid w:val="00665A14"/>
    <w:rsid w:val="0068370E"/>
    <w:rsid w:val="0068395E"/>
    <w:rsid w:val="0069414E"/>
    <w:rsid w:val="006A01AA"/>
    <w:rsid w:val="006A0C28"/>
    <w:rsid w:val="006A1D1E"/>
    <w:rsid w:val="006A3052"/>
    <w:rsid w:val="006A33A1"/>
    <w:rsid w:val="006B09BC"/>
    <w:rsid w:val="006B1018"/>
    <w:rsid w:val="006C39E8"/>
    <w:rsid w:val="006C5379"/>
    <w:rsid w:val="006F3F5F"/>
    <w:rsid w:val="00700E3D"/>
    <w:rsid w:val="00704A39"/>
    <w:rsid w:val="00704CEA"/>
    <w:rsid w:val="007160DE"/>
    <w:rsid w:val="00717F15"/>
    <w:rsid w:val="0073666B"/>
    <w:rsid w:val="00736BCC"/>
    <w:rsid w:val="00737793"/>
    <w:rsid w:val="00740973"/>
    <w:rsid w:val="00750F18"/>
    <w:rsid w:val="0076788B"/>
    <w:rsid w:val="007739C8"/>
    <w:rsid w:val="00775F4F"/>
    <w:rsid w:val="007A41B0"/>
    <w:rsid w:val="007B58AF"/>
    <w:rsid w:val="007B70B2"/>
    <w:rsid w:val="007D3BB2"/>
    <w:rsid w:val="007D75F9"/>
    <w:rsid w:val="007D7D38"/>
    <w:rsid w:val="007E5515"/>
    <w:rsid w:val="007F13C6"/>
    <w:rsid w:val="00805582"/>
    <w:rsid w:val="008077DD"/>
    <w:rsid w:val="00812520"/>
    <w:rsid w:val="00842805"/>
    <w:rsid w:val="00846572"/>
    <w:rsid w:val="00860E90"/>
    <w:rsid w:val="00861128"/>
    <w:rsid w:val="00871DA7"/>
    <w:rsid w:val="0087234E"/>
    <w:rsid w:val="00882C4C"/>
    <w:rsid w:val="008856CF"/>
    <w:rsid w:val="008937FB"/>
    <w:rsid w:val="008A4674"/>
    <w:rsid w:val="008A7F78"/>
    <w:rsid w:val="008B21FA"/>
    <w:rsid w:val="008E0964"/>
    <w:rsid w:val="008E4C8F"/>
    <w:rsid w:val="008E6B9C"/>
    <w:rsid w:val="008F6705"/>
    <w:rsid w:val="00910D21"/>
    <w:rsid w:val="00932E3F"/>
    <w:rsid w:val="00945E0D"/>
    <w:rsid w:val="00961B3F"/>
    <w:rsid w:val="00962929"/>
    <w:rsid w:val="00981D2C"/>
    <w:rsid w:val="0098356D"/>
    <w:rsid w:val="00991461"/>
    <w:rsid w:val="00992759"/>
    <w:rsid w:val="009A2F8C"/>
    <w:rsid w:val="009B1E86"/>
    <w:rsid w:val="009B6DDD"/>
    <w:rsid w:val="009C31C2"/>
    <w:rsid w:val="009D2087"/>
    <w:rsid w:val="009F02F7"/>
    <w:rsid w:val="009F0CB9"/>
    <w:rsid w:val="009F5DDF"/>
    <w:rsid w:val="00A04CAD"/>
    <w:rsid w:val="00A2587E"/>
    <w:rsid w:val="00A33AF3"/>
    <w:rsid w:val="00A3592E"/>
    <w:rsid w:val="00A3755F"/>
    <w:rsid w:val="00A451A8"/>
    <w:rsid w:val="00A47BC2"/>
    <w:rsid w:val="00A60AF9"/>
    <w:rsid w:val="00A85DE8"/>
    <w:rsid w:val="00A86F40"/>
    <w:rsid w:val="00A91013"/>
    <w:rsid w:val="00A9597F"/>
    <w:rsid w:val="00AA56AA"/>
    <w:rsid w:val="00AD63CC"/>
    <w:rsid w:val="00AE75A5"/>
    <w:rsid w:val="00AF2500"/>
    <w:rsid w:val="00B26D6C"/>
    <w:rsid w:val="00B37259"/>
    <w:rsid w:val="00B40740"/>
    <w:rsid w:val="00B4780E"/>
    <w:rsid w:val="00B47A08"/>
    <w:rsid w:val="00B51E10"/>
    <w:rsid w:val="00B65DB9"/>
    <w:rsid w:val="00B74A59"/>
    <w:rsid w:val="00BC2F8D"/>
    <w:rsid w:val="00BD280F"/>
    <w:rsid w:val="00BD2EE7"/>
    <w:rsid w:val="00BE13A2"/>
    <w:rsid w:val="00BE5C59"/>
    <w:rsid w:val="00BE6DBF"/>
    <w:rsid w:val="00BF3620"/>
    <w:rsid w:val="00C02939"/>
    <w:rsid w:val="00C02BE7"/>
    <w:rsid w:val="00C06D56"/>
    <w:rsid w:val="00C23AF8"/>
    <w:rsid w:val="00C344CC"/>
    <w:rsid w:val="00C43C46"/>
    <w:rsid w:val="00C45A9B"/>
    <w:rsid w:val="00C636A7"/>
    <w:rsid w:val="00C66884"/>
    <w:rsid w:val="00C718A9"/>
    <w:rsid w:val="00C83F0A"/>
    <w:rsid w:val="00C909DF"/>
    <w:rsid w:val="00C9283E"/>
    <w:rsid w:val="00C94BB5"/>
    <w:rsid w:val="00CA072D"/>
    <w:rsid w:val="00CA4169"/>
    <w:rsid w:val="00CB46E7"/>
    <w:rsid w:val="00CB65C1"/>
    <w:rsid w:val="00CB71A1"/>
    <w:rsid w:val="00CC48CE"/>
    <w:rsid w:val="00CC7ADB"/>
    <w:rsid w:val="00CD0F42"/>
    <w:rsid w:val="00CD3BF2"/>
    <w:rsid w:val="00CD51CC"/>
    <w:rsid w:val="00CE2917"/>
    <w:rsid w:val="00D14DAF"/>
    <w:rsid w:val="00D21D6F"/>
    <w:rsid w:val="00D364F6"/>
    <w:rsid w:val="00D520F8"/>
    <w:rsid w:val="00D64266"/>
    <w:rsid w:val="00D77BE5"/>
    <w:rsid w:val="00DB4446"/>
    <w:rsid w:val="00DB653A"/>
    <w:rsid w:val="00DB7449"/>
    <w:rsid w:val="00DE45FD"/>
    <w:rsid w:val="00DE6885"/>
    <w:rsid w:val="00DF1437"/>
    <w:rsid w:val="00DF3571"/>
    <w:rsid w:val="00E0071C"/>
    <w:rsid w:val="00E05BA7"/>
    <w:rsid w:val="00E167A0"/>
    <w:rsid w:val="00E2177B"/>
    <w:rsid w:val="00E25DE9"/>
    <w:rsid w:val="00E30306"/>
    <w:rsid w:val="00E50164"/>
    <w:rsid w:val="00E51486"/>
    <w:rsid w:val="00E51595"/>
    <w:rsid w:val="00E67237"/>
    <w:rsid w:val="00E719D9"/>
    <w:rsid w:val="00E83E1F"/>
    <w:rsid w:val="00E92391"/>
    <w:rsid w:val="00EA64B8"/>
    <w:rsid w:val="00EA7AB4"/>
    <w:rsid w:val="00EC2903"/>
    <w:rsid w:val="00EF2187"/>
    <w:rsid w:val="00F05DDE"/>
    <w:rsid w:val="00F1209C"/>
    <w:rsid w:val="00F150DB"/>
    <w:rsid w:val="00F23EBE"/>
    <w:rsid w:val="00F32FE8"/>
    <w:rsid w:val="00F34A13"/>
    <w:rsid w:val="00F34B88"/>
    <w:rsid w:val="00F43AB0"/>
    <w:rsid w:val="00F55E49"/>
    <w:rsid w:val="00F76EA6"/>
    <w:rsid w:val="00F80134"/>
    <w:rsid w:val="00F80C38"/>
    <w:rsid w:val="00F81165"/>
    <w:rsid w:val="00F85D92"/>
    <w:rsid w:val="00FA0B2A"/>
    <w:rsid w:val="00FB2017"/>
    <w:rsid w:val="00FC3AE4"/>
    <w:rsid w:val="00FD521C"/>
    <w:rsid w:val="00FD5F64"/>
    <w:rsid w:val="00FE50AA"/>
    <w:rsid w:val="00FE5D7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0F45-D791-4EDA-8B43-EFC1C2B5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C668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66884"/>
  </w:style>
  <w:style w:type="paragraph" w:styleId="Lbjegyzetszveg">
    <w:name w:val="footnote text"/>
    <w:basedOn w:val="Norml"/>
    <w:semiHidden/>
    <w:rsid w:val="00066AA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66AAC"/>
    <w:rPr>
      <w:vertAlign w:val="superscript"/>
    </w:rPr>
  </w:style>
  <w:style w:type="table" w:styleId="Rcsostblzat">
    <w:name w:val="Table Grid"/>
    <w:basedOn w:val="Normltblzat"/>
    <w:rsid w:val="0080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1B7FDB"/>
    <w:rPr>
      <w:b/>
      <w:bCs/>
      <w:i w:val="0"/>
      <w:iCs w:val="0"/>
    </w:rPr>
  </w:style>
  <w:style w:type="paragraph" w:styleId="NormlWeb">
    <w:name w:val="Normal (Web)"/>
    <w:basedOn w:val="Norml"/>
    <w:uiPriority w:val="99"/>
    <w:unhideWhenUsed/>
    <w:rsid w:val="007160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7160DE"/>
  </w:style>
  <w:style w:type="paragraph" w:styleId="Buborkszveg">
    <w:name w:val="Balloon Text"/>
    <w:basedOn w:val="Norml"/>
    <w:link w:val="BuborkszvegChar"/>
    <w:rsid w:val="002D5A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5A8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E09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E096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E0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04A9-A67F-48B0-939C-B9390693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5696</Words>
  <Characters>39306</Characters>
  <Application>Microsoft Office Word</Application>
  <DocSecurity>0</DocSecurity>
  <Lines>327</Lines>
  <Paragraphs>89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Apa</cp:lastModifiedBy>
  <cp:revision>2</cp:revision>
  <dcterms:created xsi:type="dcterms:W3CDTF">2017-10-17T14:35:00Z</dcterms:created>
  <dcterms:modified xsi:type="dcterms:W3CDTF">2017-10-17T14:35:00Z</dcterms:modified>
</cp:coreProperties>
</file>